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1D2A4" w14:textId="0AACCFCD" w:rsidR="008A11B3" w:rsidRPr="00EC759A" w:rsidRDefault="00D20468" w:rsidP="00D20468">
      <w:pPr>
        <w:pStyle w:val="Normal1"/>
        <w:spacing w:before="120"/>
        <w:jc w:val="center"/>
        <w:rPr>
          <w:rFonts w:asciiTheme="majorHAnsi" w:eastAsia="Calibri" w:hAnsiTheme="majorHAnsi" w:cstheme="majorHAnsi"/>
          <w:b/>
          <w:sz w:val="24"/>
          <w:szCs w:val="24"/>
          <w:u w:val="single"/>
          <w:lang w:val="en-US"/>
        </w:rPr>
      </w:pPr>
      <w:r w:rsidRPr="00EC759A">
        <w:rPr>
          <w:rFonts w:asciiTheme="majorHAnsi" w:eastAsia="Calibri" w:hAnsiTheme="majorHAnsi" w:cstheme="majorHAnsi"/>
          <w:b/>
          <w:sz w:val="24"/>
          <w:szCs w:val="24"/>
          <w:u w:val="single"/>
          <w:lang w:val="en-US"/>
        </w:rPr>
        <w:t xml:space="preserve">UN </w:t>
      </w:r>
      <w:r w:rsidR="008A11B3" w:rsidRPr="00EC759A">
        <w:rPr>
          <w:rFonts w:asciiTheme="majorHAnsi" w:eastAsia="Calibri" w:hAnsiTheme="majorHAnsi" w:cstheme="majorHAnsi"/>
          <w:b/>
          <w:sz w:val="24"/>
          <w:szCs w:val="24"/>
          <w:u w:val="single"/>
          <w:lang w:val="en-US"/>
        </w:rPr>
        <w:t>COMMITTEE ON ECONOMIC, SOCIAL AND CULTURAL RIGHTS</w:t>
      </w:r>
    </w:p>
    <w:p w14:paraId="582A8BBC" w14:textId="77777777" w:rsidR="008A11B3" w:rsidRPr="00EC759A" w:rsidRDefault="008A11B3" w:rsidP="008A11B3">
      <w:pPr>
        <w:pStyle w:val="Normal1"/>
        <w:spacing w:before="120"/>
        <w:jc w:val="center"/>
        <w:rPr>
          <w:rFonts w:asciiTheme="majorHAnsi" w:eastAsia="Calibri" w:hAnsiTheme="majorHAnsi" w:cstheme="majorHAnsi"/>
          <w:b/>
          <w:sz w:val="24"/>
          <w:szCs w:val="24"/>
          <w:lang w:val="en-US"/>
        </w:rPr>
      </w:pPr>
      <w:r w:rsidRPr="00EC759A">
        <w:rPr>
          <w:rFonts w:asciiTheme="majorHAnsi" w:eastAsia="Calibri" w:hAnsiTheme="majorHAnsi" w:cstheme="majorHAnsi"/>
          <w:b/>
          <w:sz w:val="24"/>
          <w:szCs w:val="24"/>
          <w:lang w:val="en-US"/>
        </w:rPr>
        <w:t>74TH SESSION</w:t>
      </w:r>
    </w:p>
    <w:p w14:paraId="66427417" w14:textId="77777777" w:rsidR="008A11B3" w:rsidRPr="00EC759A" w:rsidRDefault="008A11B3" w:rsidP="008A11B3">
      <w:pPr>
        <w:pStyle w:val="Normal1"/>
        <w:spacing w:before="120"/>
        <w:rPr>
          <w:rFonts w:asciiTheme="majorHAnsi" w:eastAsia="Calibri" w:hAnsiTheme="majorHAnsi" w:cstheme="majorHAnsi"/>
          <w:b/>
          <w:sz w:val="24"/>
          <w:szCs w:val="24"/>
          <w:lang w:val="en-US"/>
        </w:rPr>
      </w:pPr>
    </w:p>
    <w:p w14:paraId="1E6C8EC5" w14:textId="77777777" w:rsidR="008A11B3" w:rsidRPr="00EC759A" w:rsidRDefault="008A11B3" w:rsidP="008A11B3">
      <w:pPr>
        <w:pStyle w:val="Normal1"/>
        <w:spacing w:before="120"/>
        <w:jc w:val="center"/>
        <w:rPr>
          <w:rFonts w:asciiTheme="majorHAnsi" w:eastAsia="Calibri" w:hAnsiTheme="majorHAnsi" w:cstheme="majorHAnsi"/>
          <w:b/>
          <w:sz w:val="24"/>
          <w:szCs w:val="24"/>
          <w:lang w:val="en-US"/>
        </w:rPr>
      </w:pPr>
    </w:p>
    <w:p w14:paraId="45ADCB12" w14:textId="77777777" w:rsidR="008A11B3" w:rsidRPr="00EC759A" w:rsidRDefault="008A11B3" w:rsidP="008A11B3">
      <w:pPr>
        <w:pStyle w:val="Normal1"/>
        <w:spacing w:before="120"/>
        <w:jc w:val="center"/>
        <w:rPr>
          <w:rFonts w:asciiTheme="majorHAnsi" w:eastAsia="Calibri" w:hAnsiTheme="majorHAnsi" w:cstheme="majorHAnsi"/>
          <w:b/>
          <w:sz w:val="56"/>
          <w:szCs w:val="56"/>
          <w:lang w:val="en-US"/>
        </w:rPr>
      </w:pPr>
      <w:r w:rsidRPr="00EC759A">
        <w:rPr>
          <w:rFonts w:asciiTheme="majorHAnsi" w:eastAsia="Calibri" w:hAnsiTheme="majorHAnsi" w:cstheme="majorHAnsi"/>
          <w:b/>
          <w:sz w:val="56"/>
          <w:szCs w:val="56"/>
          <w:lang w:val="en-US"/>
        </w:rPr>
        <w:t>BRAZIL</w:t>
      </w:r>
    </w:p>
    <w:p w14:paraId="38C84F4E" w14:textId="3FE653D3" w:rsidR="008A11B3" w:rsidRPr="00EC759A" w:rsidRDefault="008A11B3" w:rsidP="00D20468">
      <w:pPr>
        <w:pStyle w:val="Normal1"/>
        <w:spacing w:before="120"/>
        <w:jc w:val="center"/>
        <w:rPr>
          <w:rFonts w:asciiTheme="majorHAnsi" w:eastAsia="Calibri" w:hAnsiTheme="majorHAnsi" w:cstheme="majorHAnsi"/>
          <w:b/>
          <w:sz w:val="32"/>
          <w:szCs w:val="32"/>
          <w:lang w:val="en-US"/>
        </w:rPr>
      </w:pPr>
      <w:r w:rsidRPr="00EC759A">
        <w:rPr>
          <w:rFonts w:asciiTheme="majorHAnsi" w:eastAsia="Calibri" w:hAnsiTheme="majorHAnsi" w:cstheme="majorHAnsi"/>
          <w:b/>
          <w:sz w:val="32"/>
          <w:szCs w:val="32"/>
          <w:lang w:val="en-US"/>
        </w:rPr>
        <w:t>3</w:t>
      </w:r>
      <w:r w:rsidRPr="00EC759A">
        <w:rPr>
          <w:rFonts w:asciiTheme="majorHAnsi" w:eastAsia="Calibri" w:hAnsiTheme="majorHAnsi" w:cstheme="majorHAnsi"/>
          <w:b/>
          <w:sz w:val="32"/>
          <w:szCs w:val="32"/>
          <w:vertAlign w:val="superscript"/>
          <w:lang w:val="en-US"/>
        </w:rPr>
        <w:t>RD</w:t>
      </w:r>
      <w:r w:rsidRPr="00EC759A">
        <w:rPr>
          <w:rFonts w:asciiTheme="majorHAnsi" w:eastAsia="Calibri" w:hAnsiTheme="majorHAnsi" w:cstheme="majorHAnsi"/>
          <w:b/>
          <w:sz w:val="32"/>
          <w:szCs w:val="32"/>
          <w:lang w:val="en-US"/>
        </w:rPr>
        <w:t xml:space="preserve"> PERIODIC REPORT</w:t>
      </w:r>
    </w:p>
    <w:p w14:paraId="77974411" w14:textId="444186CA" w:rsidR="008A11B3" w:rsidRPr="00EC759A" w:rsidRDefault="00D20468" w:rsidP="008A11B3">
      <w:pPr>
        <w:pStyle w:val="Normal1"/>
        <w:spacing w:before="120"/>
        <w:jc w:val="center"/>
        <w:rPr>
          <w:rFonts w:asciiTheme="majorHAnsi" w:eastAsia="Calibri" w:hAnsiTheme="majorHAnsi" w:cstheme="majorHAnsi"/>
          <w:b/>
          <w:sz w:val="32"/>
          <w:szCs w:val="32"/>
          <w:lang w:val="en-US"/>
        </w:rPr>
      </w:pPr>
      <w:r w:rsidRPr="00EC759A">
        <w:rPr>
          <w:rFonts w:asciiTheme="majorHAnsi" w:eastAsia="Calibri" w:hAnsiTheme="majorHAnsi" w:cstheme="majorHAnsi"/>
          <w:b/>
          <w:sz w:val="32"/>
          <w:szCs w:val="32"/>
          <w:lang w:val="en-US"/>
        </w:rPr>
        <w:t xml:space="preserve">JOINT </w:t>
      </w:r>
      <w:r w:rsidR="008A11B3" w:rsidRPr="00EC759A">
        <w:rPr>
          <w:rFonts w:asciiTheme="majorHAnsi" w:eastAsia="Calibri" w:hAnsiTheme="majorHAnsi" w:cstheme="majorHAnsi"/>
          <w:b/>
          <w:sz w:val="32"/>
          <w:szCs w:val="32"/>
          <w:lang w:val="en-US"/>
        </w:rPr>
        <w:t>CIVIL SOCIETY REPORT</w:t>
      </w:r>
    </w:p>
    <w:p w14:paraId="011B2D20" w14:textId="77777777" w:rsidR="008A11B3" w:rsidRPr="00EC759A" w:rsidRDefault="008A11B3" w:rsidP="008A11B3">
      <w:pPr>
        <w:pStyle w:val="Normal1"/>
        <w:spacing w:before="120"/>
        <w:ind w:firstLine="426"/>
        <w:jc w:val="center"/>
        <w:rPr>
          <w:rFonts w:asciiTheme="majorHAnsi" w:eastAsia="Calibri" w:hAnsiTheme="majorHAnsi" w:cstheme="majorHAnsi"/>
          <w:b/>
          <w:sz w:val="24"/>
          <w:szCs w:val="24"/>
          <w:lang w:val="en-US"/>
        </w:rPr>
      </w:pPr>
    </w:p>
    <w:p w14:paraId="0A9EDC4D" w14:textId="77777777" w:rsidR="008A11B3" w:rsidRPr="00EC759A" w:rsidRDefault="008A11B3" w:rsidP="008A11B3">
      <w:pPr>
        <w:pStyle w:val="Normal1"/>
        <w:spacing w:before="120"/>
        <w:jc w:val="center"/>
        <w:rPr>
          <w:rFonts w:asciiTheme="majorHAnsi" w:eastAsia="Calibri" w:hAnsiTheme="majorHAnsi" w:cstheme="majorHAnsi"/>
          <w:b/>
          <w:lang w:val="en-US"/>
        </w:rPr>
      </w:pPr>
      <w:r w:rsidRPr="00EC759A">
        <w:rPr>
          <w:rFonts w:asciiTheme="majorHAnsi" w:eastAsia="Calibri" w:hAnsiTheme="majorHAnsi" w:cstheme="majorHAnsi"/>
          <w:b/>
          <w:lang w:val="en-US"/>
        </w:rPr>
        <w:t>Arns Commission – Dom Paulo Evaristo Arns Commission for Human Rights Defense</w:t>
      </w:r>
      <w:r w:rsidRPr="00EC759A">
        <w:rPr>
          <w:rStyle w:val="FootnoteReference"/>
          <w:rFonts w:asciiTheme="majorHAnsi" w:eastAsia="Calibri" w:hAnsiTheme="majorHAnsi" w:cstheme="majorHAnsi"/>
          <w:b/>
          <w:lang w:val="en-US"/>
        </w:rPr>
        <w:footnoteReference w:id="1"/>
      </w:r>
      <w:r w:rsidRPr="00EC759A">
        <w:rPr>
          <w:rFonts w:asciiTheme="majorHAnsi" w:eastAsia="Calibri" w:hAnsiTheme="majorHAnsi" w:cstheme="majorHAnsi"/>
          <w:b/>
          <w:lang w:val="en-US"/>
        </w:rPr>
        <w:t xml:space="preserve"> </w:t>
      </w:r>
    </w:p>
    <w:p w14:paraId="0B7627E1" w14:textId="77777777" w:rsidR="008A11B3" w:rsidRPr="00EC759A" w:rsidRDefault="008A11B3" w:rsidP="008A11B3">
      <w:pPr>
        <w:pStyle w:val="Normal1"/>
        <w:spacing w:before="120"/>
        <w:jc w:val="center"/>
        <w:rPr>
          <w:rFonts w:asciiTheme="majorHAnsi" w:eastAsia="Calibri" w:hAnsiTheme="majorHAnsi" w:cstheme="majorHAnsi"/>
          <w:b/>
          <w:bCs/>
          <w:lang w:val="en-US"/>
        </w:rPr>
      </w:pPr>
      <w:r w:rsidRPr="00EC759A">
        <w:rPr>
          <w:rFonts w:asciiTheme="majorHAnsi" w:eastAsia="Calibri" w:hAnsiTheme="majorHAnsi" w:cstheme="majorHAnsi"/>
          <w:b/>
          <w:sz w:val="24"/>
          <w:szCs w:val="24"/>
          <w:lang w:val="en-US"/>
        </w:rPr>
        <w:t xml:space="preserve">CEERT – </w:t>
      </w:r>
      <w:r w:rsidRPr="00EC759A">
        <w:rPr>
          <w:rFonts w:asciiTheme="majorHAnsi" w:eastAsia="Calibri" w:hAnsiTheme="majorHAnsi" w:cstheme="majorHAnsi"/>
          <w:b/>
          <w:bCs/>
          <w:lang w:val="en-US"/>
        </w:rPr>
        <w:t>Center for the Study of Labor Relations and Inequalities</w:t>
      </w:r>
      <w:r w:rsidRPr="00EC759A">
        <w:rPr>
          <w:rStyle w:val="FootnoteReference"/>
          <w:rFonts w:asciiTheme="majorHAnsi" w:eastAsia="Calibri" w:hAnsiTheme="majorHAnsi" w:cstheme="majorHAnsi"/>
          <w:b/>
          <w:bCs/>
          <w:lang w:val="en-US"/>
        </w:rPr>
        <w:footnoteReference w:id="2"/>
      </w:r>
      <w:r w:rsidRPr="00EC759A">
        <w:rPr>
          <w:rFonts w:asciiTheme="majorHAnsi" w:eastAsia="Calibri" w:hAnsiTheme="majorHAnsi" w:cstheme="majorHAnsi"/>
          <w:b/>
          <w:bCs/>
          <w:lang w:val="en-US"/>
        </w:rPr>
        <w:t xml:space="preserve"> </w:t>
      </w:r>
    </w:p>
    <w:p w14:paraId="4EE4A0AA" w14:textId="77777777" w:rsidR="008A11B3" w:rsidRPr="00EC759A" w:rsidRDefault="008A11B3" w:rsidP="008A11B3">
      <w:pPr>
        <w:pStyle w:val="Normal1"/>
        <w:spacing w:before="120"/>
        <w:jc w:val="center"/>
        <w:rPr>
          <w:rFonts w:asciiTheme="majorHAnsi" w:eastAsia="Calibri" w:hAnsiTheme="majorHAnsi" w:cstheme="majorHAnsi"/>
          <w:b/>
          <w:sz w:val="24"/>
          <w:szCs w:val="24"/>
          <w:lang w:val="en-US"/>
        </w:rPr>
      </w:pPr>
      <w:r w:rsidRPr="00EC759A">
        <w:rPr>
          <w:rFonts w:asciiTheme="majorHAnsi" w:eastAsia="Calibri" w:hAnsiTheme="majorHAnsi" w:cstheme="majorHAnsi"/>
          <w:b/>
          <w:sz w:val="24"/>
          <w:szCs w:val="24"/>
          <w:lang w:val="en-US"/>
        </w:rPr>
        <w:t>Instituto Itéramãxe</w:t>
      </w:r>
      <w:r w:rsidRPr="00EC759A">
        <w:rPr>
          <w:rStyle w:val="FootnoteReference"/>
          <w:rFonts w:asciiTheme="majorHAnsi" w:eastAsia="Calibri" w:hAnsiTheme="majorHAnsi" w:cstheme="majorHAnsi"/>
          <w:b/>
          <w:sz w:val="24"/>
          <w:szCs w:val="24"/>
          <w:lang w:val="en-US"/>
        </w:rPr>
        <w:footnoteReference w:id="3"/>
      </w:r>
    </w:p>
    <w:p w14:paraId="33F48B9D" w14:textId="09BBAA97" w:rsidR="008A11B3" w:rsidRPr="00EC759A" w:rsidRDefault="008A11B3" w:rsidP="008A11B3">
      <w:pPr>
        <w:pStyle w:val="Normal1"/>
        <w:spacing w:before="120"/>
        <w:jc w:val="center"/>
        <w:rPr>
          <w:rFonts w:asciiTheme="majorHAnsi" w:eastAsia="Calibri" w:hAnsiTheme="majorHAnsi" w:cstheme="majorHAnsi"/>
          <w:b/>
          <w:sz w:val="24"/>
          <w:szCs w:val="24"/>
          <w:lang w:val="en-US"/>
        </w:rPr>
      </w:pPr>
      <w:r w:rsidRPr="00EC759A">
        <w:rPr>
          <w:rFonts w:asciiTheme="majorHAnsi" w:hAnsiTheme="majorHAnsi" w:cstheme="majorHAnsi"/>
          <w:noProof/>
          <w:color w:val="000000"/>
          <w:bdr w:val="none" w:sz="0" w:space="0" w:color="auto" w:frame="1"/>
          <w:lang w:val="en-US"/>
        </w:rPr>
        <w:drawing>
          <wp:anchor distT="0" distB="0" distL="114300" distR="114300" simplePos="0" relativeHeight="251660288" behindDoc="0" locked="0" layoutInCell="1" allowOverlap="1" wp14:anchorId="55A84D35" wp14:editId="6734AE4B">
            <wp:simplePos x="0" y="0"/>
            <wp:positionH relativeFrom="column">
              <wp:posOffset>-257810</wp:posOffset>
            </wp:positionH>
            <wp:positionV relativeFrom="paragraph">
              <wp:posOffset>377190</wp:posOffset>
            </wp:positionV>
            <wp:extent cx="1848485" cy="770890"/>
            <wp:effectExtent l="0" t="0" r="5715" b="3810"/>
            <wp:wrapNone/>
            <wp:docPr id="1709572226" name="Imagem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572226" name="Imagem 2" descr="A close-up of a logo&#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6555" t="13475" r="15070"/>
                    <a:stretch/>
                  </pic:blipFill>
                  <pic:spPr bwMode="auto">
                    <a:xfrm>
                      <a:off x="0" y="0"/>
                      <a:ext cx="1848485" cy="7708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79CCCC4" w14:textId="483F2702" w:rsidR="008A11B3" w:rsidRPr="00EC759A" w:rsidRDefault="008A11B3" w:rsidP="008A11B3">
      <w:pPr>
        <w:pStyle w:val="Normal1"/>
        <w:spacing w:before="120"/>
        <w:rPr>
          <w:rFonts w:asciiTheme="majorHAnsi" w:eastAsia="Calibri" w:hAnsiTheme="majorHAnsi" w:cstheme="majorHAnsi"/>
          <w:b/>
          <w:sz w:val="24"/>
          <w:szCs w:val="24"/>
          <w:lang w:val="en-US"/>
        </w:rPr>
      </w:pPr>
      <w:r w:rsidRPr="00EC759A">
        <w:rPr>
          <w:rFonts w:asciiTheme="majorHAnsi" w:eastAsia="Calibri" w:hAnsiTheme="majorHAnsi" w:cstheme="majorHAnsi"/>
          <w:b/>
          <w:noProof/>
          <w:lang w:val="en-US"/>
        </w:rPr>
        <w:drawing>
          <wp:anchor distT="0" distB="0" distL="114300" distR="114300" simplePos="0" relativeHeight="251661312" behindDoc="0" locked="0" layoutInCell="1" allowOverlap="1" wp14:anchorId="333DE0C7" wp14:editId="16231A05">
            <wp:simplePos x="0" y="0"/>
            <wp:positionH relativeFrom="column">
              <wp:posOffset>4408170</wp:posOffset>
            </wp:positionH>
            <wp:positionV relativeFrom="paragraph">
              <wp:posOffset>45134</wp:posOffset>
            </wp:positionV>
            <wp:extent cx="1847629" cy="770890"/>
            <wp:effectExtent l="0" t="0" r="0" b="3810"/>
            <wp:wrapNone/>
            <wp:docPr id="1716273183" name="Imagem 1" descr="A colorful text with black and white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273183" name="Imagem 1" descr="A colorful text with black and white lines&#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l="6352" t="25294" r="9899" b="25205"/>
                    <a:stretch/>
                  </pic:blipFill>
                  <pic:spPr bwMode="auto">
                    <a:xfrm>
                      <a:off x="0" y="0"/>
                      <a:ext cx="1847629" cy="770890"/>
                    </a:xfrm>
                    <a:prstGeom prst="rect">
                      <a:avLst/>
                    </a:prstGeom>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C759A">
        <w:rPr>
          <w:rFonts w:asciiTheme="majorHAnsi" w:eastAsia="Calibri" w:hAnsiTheme="majorHAnsi" w:cstheme="majorHAnsi"/>
          <w:b/>
          <w:noProof/>
          <w:sz w:val="24"/>
          <w:szCs w:val="24"/>
          <w:lang w:val="en-US"/>
        </w:rPr>
        <w:drawing>
          <wp:anchor distT="0" distB="0" distL="114300" distR="114300" simplePos="0" relativeHeight="251659264" behindDoc="0" locked="0" layoutInCell="1" allowOverlap="1" wp14:anchorId="3D09D3D4" wp14:editId="005BF454">
            <wp:simplePos x="0" y="0"/>
            <wp:positionH relativeFrom="column">
              <wp:posOffset>2163200</wp:posOffset>
            </wp:positionH>
            <wp:positionV relativeFrom="paragraph">
              <wp:posOffset>31884</wp:posOffset>
            </wp:positionV>
            <wp:extent cx="1571411" cy="784350"/>
            <wp:effectExtent l="0" t="0" r="3810" b="3175"/>
            <wp:wrapNone/>
            <wp:docPr id="1520806436" name="Imagem 4" descr="A logo with a wre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806436" name="Imagem 4" descr="A logo with a wrenc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1411" cy="784350"/>
                    </a:xfrm>
                    <a:prstGeom prst="rect">
                      <a:avLst/>
                    </a:prstGeom>
                    <a:ln>
                      <a:noFill/>
                    </a:ln>
                  </pic:spPr>
                </pic:pic>
              </a:graphicData>
            </a:graphic>
            <wp14:sizeRelH relativeFrom="page">
              <wp14:pctWidth>0</wp14:pctWidth>
            </wp14:sizeRelH>
            <wp14:sizeRelV relativeFrom="page">
              <wp14:pctHeight>0</wp14:pctHeight>
            </wp14:sizeRelV>
          </wp:anchor>
        </w:drawing>
      </w:r>
      <w:r w:rsidRPr="00EC759A">
        <w:rPr>
          <w:rFonts w:asciiTheme="majorHAnsi" w:hAnsiTheme="majorHAnsi" w:cstheme="majorHAnsi"/>
          <w:color w:val="000000"/>
          <w:bdr w:val="none" w:sz="0" w:space="0" w:color="auto" w:frame="1"/>
          <w:lang w:val="en-US"/>
        </w:rPr>
        <w:fldChar w:fldCharType="begin"/>
      </w:r>
      <w:r w:rsidRPr="00EC759A">
        <w:rPr>
          <w:rFonts w:asciiTheme="majorHAnsi" w:hAnsiTheme="majorHAnsi" w:cstheme="majorHAnsi"/>
          <w:color w:val="000000"/>
          <w:bdr w:val="none" w:sz="0" w:space="0" w:color="auto" w:frame="1"/>
          <w:lang w:val="en-US"/>
        </w:rPr>
        <w:instrText xml:space="preserve"> INCLUDEPICTURE "https://lh4.googleusercontent.com/vFtK9FLOwORragvZEwqIadk6ccIQhnszDhqJAKQWNk9U0sqkUx6M47GQ3EUyKNA3u8Shg-IcLHlP-jovyCdYum70z--VXh4Xkh09T9veX3ysbxYsmrs-YmftYe0z_Qja6f-MKJq2KhbM3mKP7kEg0Q" \* MERGEFORMATINET </w:instrText>
      </w:r>
      <w:r w:rsidR="00CE3A6C">
        <w:rPr>
          <w:rFonts w:asciiTheme="majorHAnsi" w:hAnsiTheme="majorHAnsi" w:cstheme="majorHAnsi"/>
          <w:color w:val="000000"/>
          <w:bdr w:val="none" w:sz="0" w:space="0" w:color="auto" w:frame="1"/>
          <w:lang w:val="en-US"/>
        </w:rPr>
        <w:fldChar w:fldCharType="separate"/>
      </w:r>
      <w:r w:rsidRPr="00EC759A">
        <w:rPr>
          <w:rFonts w:asciiTheme="majorHAnsi" w:hAnsiTheme="majorHAnsi" w:cstheme="majorHAnsi"/>
          <w:color w:val="000000"/>
          <w:bdr w:val="none" w:sz="0" w:space="0" w:color="auto" w:frame="1"/>
          <w:lang w:val="en-US"/>
        </w:rPr>
        <w:fldChar w:fldCharType="end"/>
      </w:r>
    </w:p>
    <w:p w14:paraId="65686706" w14:textId="6CD41B52" w:rsidR="008A11B3" w:rsidRPr="00EC759A" w:rsidRDefault="008A11B3" w:rsidP="008A11B3">
      <w:pPr>
        <w:pStyle w:val="Normal1"/>
        <w:spacing w:before="120"/>
        <w:ind w:firstLine="426"/>
        <w:jc w:val="center"/>
        <w:rPr>
          <w:rFonts w:asciiTheme="majorHAnsi" w:eastAsia="Calibri" w:hAnsiTheme="majorHAnsi" w:cstheme="majorHAnsi"/>
          <w:b/>
          <w:sz w:val="24"/>
          <w:szCs w:val="24"/>
          <w:lang w:val="en-US"/>
        </w:rPr>
      </w:pPr>
    </w:p>
    <w:p w14:paraId="714539A1" w14:textId="634424A8" w:rsidR="008A11B3" w:rsidRPr="00EC759A" w:rsidRDefault="008A11B3" w:rsidP="008A11B3">
      <w:pPr>
        <w:rPr>
          <w:rFonts w:asciiTheme="majorHAnsi" w:eastAsia="Calibri" w:hAnsiTheme="majorHAnsi" w:cstheme="majorHAnsi"/>
          <w:b/>
          <w:lang w:val="en-US"/>
        </w:rPr>
      </w:pPr>
    </w:p>
    <w:p w14:paraId="4405E7A0" w14:textId="77777777" w:rsidR="008A11B3" w:rsidRPr="00EC759A" w:rsidRDefault="008A11B3" w:rsidP="008A11B3">
      <w:pPr>
        <w:rPr>
          <w:rFonts w:asciiTheme="majorHAnsi" w:eastAsia="Calibri" w:hAnsiTheme="majorHAnsi" w:cstheme="majorHAnsi"/>
          <w:b/>
          <w:lang w:val="en-US"/>
        </w:rPr>
      </w:pPr>
    </w:p>
    <w:p w14:paraId="1DCBC20A" w14:textId="77777777" w:rsidR="00D20468" w:rsidRPr="00EC759A" w:rsidRDefault="00D20468" w:rsidP="00D20468">
      <w:pPr>
        <w:jc w:val="center"/>
        <w:rPr>
          <w:rFonts w:asciiTheme="majorHAnsi" w:eastAsia="Calibri" w:hAnsiTheme="majorHAnsi" w:cstheme="majorHAnsi"/>
          <w:b/>
          <w:sz w:val="24"/>
          <w:szCs w:val="24"/>
          <w:u w:val="single"/>
          <w:lang w:val="en-US"/>
        </w:rPr>
      </w:pPr>
    </w:p>
    <w:p w14:paraId="1D59CD54" w14:textId="77777777" w:rsidR="00D20468" w:rsidRPr="00EC759A" w:rsidRDefault="00D20468" w:rsidP="00D20468">
      <w:pPr>
        <w:jc w:val="center"/>
        <w:rPr>
          <w:rFonts w:asciiTheme="majorHAnsi" w:eastAsia="Calibri" w:hAnsiTheme="majorHAnsi" w:cstheme="majorHAnsi"/>
          <w:b/>
          <w:sz w:val="24"/>
          <w:szCs w:val="24"/>
          <w:u w:val="single"/>
          <w:lang w:val="en-US"/>
        </w:rPr>
      </w:pPr>
    </w:p>
    <w:p w14:paraId="7FA3157A" w14:textId="77777777" w:rsidR="00D20468" w:rsidRPr="00EC759A" w:rsidRDefault="00D20468" w:rsidP="00D20468">
      <w:pPr>
        <w:jc w:val="center"/>
        <w:rPr>
          <w:rFonts w:asciiTheme="majorHAnsi" w:eastAsia="Calibri" w:hAnsiTheme="majorHAnsi" w:cstheme="majorHAnsi"/>
          <w:b/>
          <w:sz w:val="24"/>
          <w:szCs w:val="24"/>
          <w:u w:val="single"/>
          <w:lang w:val="en-US"/>
        </w:rPr>
      </w:pPr>
    </w:p>
    <w:p w14:paraId="3CFB2BC4" w14:textId="77777777" w:rsidR="00D20468" w:rsidRPr="00EC759A" w:rsidRDefault="00D20468">
      <w:pPr>
        <w:rPr>
          <w:rFonts w:asciiTheme="majorHAnsi" w:eastAsia="Calibri" w:hAnsiTheme="majorHAnsi" w:cstheme="majorHAnsi"/>
          <w:b/>
          <w:sz w:val="24"/>
          <w:szCs w:val="24"/>
          <w:u w:val="single"/>
          <w:lang w:val="en-US"/>
        </w:rPr>
      </w:pPr>
      <w:r w:rsidRPr="00EC759A">
        <w:rPr>
          <w:rFonts w:asciiTheme="majorHAnsi" w:eastAsia="Calibri" w:hAnsiTheme="majorHAnsi" w:cstheme="majorHAnsi"/>
          <w:b/>
          <w:sz w:val="24"/>
          <w:szCs w:val="24"/>
          <w:u w:val="single"/>
          <w:lang w:val="en-US"/>
        </w:rPr>
        <w:br w:type="page"/>
      </w:r>
    </w:p>
    <w:p w14:paraId="3193BB98" w14:textId="625A4AF9" w:rsidR="008A11B3" w:rsidRPr="00EC759A" w:rsidRDefault="008A11B3" w:rsidP="00D20468">
      <w:pPr>
        <w:jc w:val="center"/>
        <w:rPr>
          <w:rFonts w:asciiTheme="majorHAnsi" w:eastAsia="Calibri" w:hAnsiTheme="majorHAnsi" w:cstheme="majorHAnsi"/>
          <w:b/>
          <w:sz w:val="24"/>
          <w:szCs w:val="24"/>
          <w:u w:val="single"/>
          <w:lang w:val="en-US"/>
        </w:rPr>
      </w:pPr>
      <w:r w:rsidRPr="00EC759A">
        <w:rPr>
          <w:rFonts w:asciiTheme="majorHAnsi" w:eastAsia="Calibri" w:hAnsiTheme="majorHAnsi" w:cstheme="majorHAnsi"/>
          <w:b/>
          <w:sz w:val="24"/>
          <w:szCs w:val="24"/>
          <w:u w:val="single"/>
          <w:lang w:val="en-US"/>
        </w:rPr>
        <w:lastRenderedPageBreak/>
        <w:t>TABLE OF CONTENTS</w:t>
      </w:r>
    </w:p>
    <w:p w14:paraId="171FA06C" w14:textId="77777777" w:rsidR="00D20468" w:rsidRPr="00EC759A" w:rsidRDefault="00D20468">
      <w:pPr>
        <w:rPr>
          <w:rFonts w:asciiTheme="majorHAnsi" w:eastAsia="Calibri" w:hAnsiTheme="majorHAnsi" w:cstheme="majorHAnsi"/>
          <w:b/>
          <w:lang w:val="en-US"/>
        </w:rPr>
      </w:pPr>
    </w:p>
    <w:p w14:paraId="1A9D43BA" w14:textId="77777777" w:rsidR="00D20468" w:rsidRPr="00EC759A" w:rsidRDefault="00D20468">
      <w:pPr>
        <w:rPr>
          <w:rFonts w:asciiTheme="majorHAnsi" w:eastAsia="Calibri" w:hAnsiTheme="majorHAnsi" w:cstheme="majorHAnsi"/>
          <w:b/>
          <w:lang w:val="en-US"/>
        </w:rPr>
      </w:pPr>
    </w:p>
    <w:p w14:paraId="7BDC3C89" w14:textId="77777777" w:rsidR="00D20468" w:rsidRPr="00EC759A" w:rsidRDefault="00D20468">
      <w:pPr>
        <w:rPr>
          <w:rFonts w:asciiTheme="majorHAnsi" w:eastAsia="Calibri" w:hAnsiTheme="majorHAnsi" w:cstheme="majorHAnsi"/>
          <w:b/>
          <w:lang w:val="en-US"/>
        </w:rPr>
      </w:pPr>
    </w:p>
    <w:p w14:paraId="147B2BEE" w14:textId="4CE96B8C" w:rsidR="00D20468" w:rsidRPr="00EC759A" w:rsidRDefault="00D20468">
      <w:pPr>
        <w:pStyle w:val="TOC1"/>
        <w:tabs>
          <w:tab w:val="right" w:leader="underscore" w:pos="9350"/>
        </w:tabs>
        <w:rPr>
          <w:rFonts w:asciiTheme="majorHAnsi" w:eastAsiaTheme="minorEastAsia" w:hAnsiTheme="majorHAnsi" w:cstheme="majorHAnsi"/>
          <w:b w:val="0"/>
          <w:bCs w:val="0"/>
          <w:i w:val="0"/>
          <w:iCs w:val="0"/>
          <w:noProof/>
          <w:kern w:val="2"/>
          <w:sz w:val="22"/>
          <w:szCs w:val="22"/>
          <w:lang w:eastAsia="en-US"/>
          <w14:ligatures w14:val="standardContextual"/>
        </w:rPr>
      </w:pPr>
      <w:r w:rsidRPr="00EC759A">
        <w:rPr>
          <w:rFonts w:asciiTheme="majorHAnsi" w:eastAsia="Calibri" w:hAnsiTheme="majorHAnsi" w:cstheme="majorHAnsi"/>
          <w:b w:val="0"/>
          <w:i w:val="0"/>
          <w:iCs w:val="0"/>
          <w:sz w:val="22"/>
          <w:szCs w:val="22"/>
          <w:lang w:val="en-US"/>
        </w:rPr>
        <w:fldChar w:fldCharType="begin"/>
      </w:r>
      <w:r w:rsidRPr="00EC759A">
        <w:rPr>
          <w:rFonts w:asciiTheme="majorHAnsi" w:eastAsia="Calibri" w:hAnsiTheme="majorHAnsi" w:cstheme="majorHAnsi"/>
          <w:b w:val="0"/>
          <w:i w:val="0"/>
          <w:iCs w:val="0"/>
          <w:sz w:val="22"/>
          <w:szCs w:val="22"/>
          <w:lang w:val="en-US"/>
        </w:rPr>
        <w:instrText xml:space="preserve"> TOC \o "1-3" \h \z \u </w:instrText>
      </w:r>
      <w:r w:rsidRPr="00EC759A">
        <w:rPr>
          <w:rFonts w:asciiTheme="majorHAnsi" w:eastAsia="Calibri" w:hAnsiTheme="majorHAnsi" w:cstheme="majorHAnsi"/>
          <w:b w:val="0"/>
          <w:i w:val="0"/>
          <w:iCs w:val="0"/>
          <w:sz w:val="22"/>
          <w:szCs w:val="22"/>
          <w:lang w:val="en-US"/>
        </w:rPr>
        <w:fldChar w:fldCharType="separate"/>
      </w:r>
      <w:hyperlink w:anchor="_Toc145507617" w:history="1">
        <w:r w:rsidRPr="00EC759A">
          <w:rPr>
            <w:rStyle w:val="Hyperlink"/>
            <w:rFonts w:asciiTheme="majorHAnsi" w:hAnsiTheme="majorHAnsi" w:cstheme="majorHAnsi"/>
            <w:i w:val="0"/>
            <w:iCs w:val="0"/>
            <w:noProof/>
            <w:sz w:val="22"/>
            <w:szCs w:val="22"/>
            <w:lang w:val="en-US"/>
          </w:rPr>
          <w:t>1 - Article 1 ICESCR: Self-Determination of Peoples</w:t>
        </w:r>
        <w:r w:rsidRPr="00EC759A">
          <w:rPr>
            <w:rFonts w:asciiTheme="majorHAnsi" w:hAnsiTheme="majorHAnsi" w:cstheme="majorHAnsi"/>
            <w:i w:val="0"/>
            <w:iCs w:val="0"/>
            <w:noProof/>
            <w:webHidden/>
            <w:sz w:val="22"/>
            <w:szCs w:val="22"/>
          </w:rPr>
          <w:tab/>
        </w:r>
        <w:r w:rsidRPr="00EC759A">
          <w:rPr>
            <w:rFonts w:asciiTheme="majorHAnsi" w:hAnsiTheme="majorHAnsi" w:cstheme="majorHAnsi"/>
            <w:i w:val="0"/>
            <w:iCs w:val="0"/>
            <w:noProof/>
            <w:webHidden/>
            <w:sz w:val="22"/>
            <w:szCs w:val="22"/>
          </w:rPr>
          <w:fldChar w:fldCharType="begin"/>
        </w:r>
        <w:r w:rsidRPr="00EC759A">
          <w:rPr>
            <w:rFonts w:asciiTheme="majorHAnsi" w:hAnsiTheme="majorHAnsi" w:cstheme="majorHAnsi"/>
            <w:i w:val="0"/>
            <w:iCs w:val="0"/>
            <w:noProof/>
            <w:webHidden/>
            <w:sz w:val="22"/>
            <w:szCs w:val="22"/>
          </w:rPr>
          <w:instrText xml:space="preserve"> PAGEREF _Toc145507617 \h </w:instrText>
        </w:r>
        <w:r w:rsidRPr="00EC759A">
          <w:rPr>
            <w:rFonts w:asciiTheme="majorHAnsi" w:hAnsiTheme="majorHAnsi" w:cstheme="majorHAnsi"/>
            <w:i w:val="0"/>
            <w:iCs w:val="0"/>
            <w:noProof/>
            <w:webHidden/>
            <w:sz w:val="22"/>
            <w:szCs w:val="22"/>
          </w:rPr>
        </w:r>
        <w:r w:rsidRPr="00EC759A">
          <w:rPr>
            <w:rFonts w:asciiTheme="majorHAnsi" w:hAnsiTheme="majorHAnsi" w:cstheme="majorHAnsi"/>
            <w:i w:val="0"/>
            <w:iCs w:val="0"/>
            <w:noProof/>
            <w:webHidden/>
            <w:sz w:val="22"/>
            <w:szCs w:val="22"/>
          </w:rPr>
          <w:fldChar w:fldCharType="separate"/>
        </w:r>
        <w:r w:rsidRPr="00EC759A">
          <w:rPr>
            <w:rFonts w:asciiTheme="majorHAnsi" w:hAnsiTheme="majorHAnsi" w:cstheme="majorHAnsi"/>
            <w:i w:val="0"/>
            <w:iCs w:val="0"/>
            <w:noProof/>
            <w:webHidden/>
            <w:sz w:val="22"/>
            <w:szCs w:val="22"/>
          </w:rPr>
          <w:t>3</w:t>
        </w:r>
        <w:r w:rsidRPr="00EC759A">
          <w:rPr>
            <w:rFonts w:asciiTheme="majorHAnsi" w:hAnsiTheme="majorHAnsi" w:cstheme="majorHAnsi"/>
            <w:i w:val="0"/>
            <w:iCs w:val="0"/>
            <w:noProof/>
            <w:webHidden/>
            <w:sz w:val="22"/>
            <w:szCs w:val="22"/>
          </w:rPr>
          <w:fldChar w:fldCharType="end"/>
        </w:r>
      </w:hyperlink>
    </w:p>
    <w:p w14:paraId="5450F97D" w14:textId="2B4B5DF6" w:rsidR="00D20468" w:rsidRPr="00EC759A" w:rsidRDefault="00CE3A6C">
      <w:pPr>
        <w:pStyle w:val="TOC2"/>
        <w:tabs>
          <w:tab w:val="right" w:leader="underscore" w:pos="9350"/>
        </w:tabs>
        <w:rPr>
          <w:rFonts w:asciiTheme="majorHAnsi" w:eastAsiaTheme="minorEastAsia" w:hAnsiTheme="majorHAnsi" w:cstheme="majorHAnsi"/>
          <w:b w:val="0"/>
          <w:bCs w:val="0"/>
          <w:noProof/>
          <w:kern w:val="2"/>
          <w:lang w:eastAsia="en-US"/>
          <w14:ligatures w14:val="standardContextual"/>
        </w:rPr>
      </w:pPr>
      <w:hyperlink w:anchor="_Toc145507618" w:history="1">
        <w:r w:rsidR="00D20468" w:rsidRPr="00EC759A">
          <w:rPr>
            <w:rStyle w:val="Hyperlink"/>
            <w:rFonts w:asciiTheme="majorHAnsi" w:hAnsiTheme="majorHAnsi" w:cstheme="majorHAnsi"/>
            <w:noProof/>
            <w:lang w:val="en-US"/>
          </w:rPr>
          <w:t>1.1 Demarcation of Indigenous Territories and Self-Determination of Indigenous Peoples</w:t>
        </w:r>
        <w:r w:rsidR="00D20468" w:rsidRPr="00EC759A">
          <w:rPr>
            <w:rFonts w:asciiTheme="majorHAnsi" w:hAnsiTheme="majorHAnsi" w:cstheme="majorHAnsi"/>
            <w:noProof/>
            <w:webHidden/>
          </w:rPr>
          <w:tab/>
        </w:r>
        <w:r w:rsidR="00D20468" w:rsidRPr="00EC759A">
          <w:rPr>
            <w:rFonts w:asciiTheme="majorHAnsi" w:hAnsiTheme="majorHAnsi" w:cstheme="majorHAnsi"/>
            <w:noProof/>
            <w:webHidden/>
          </w:rPr>
          <w:fldChar w:fldCharType="begin"/>
        </w:r>
        <w:r w:rsidR="00D20468" w:rsidRPr="00EC759A">
          <w:rPr>
            <w:rFonts w:asciiTheme="majorHAnsi" w:hAnsiTheme="majorHAnsi" w:cstheme="majorHAnsi"/>
            <w:noProof/>
            <w:webHidden/>
          </w:rPr>
          <w:instrText xml:space="preserve"> PAGEREF _Toc145507618 \h </w:instrText>
        </w:r>
        <w:r w:rsidR="00D20468" w:rsidRPr="00EC759A">
          <w:rPr>
            <w:rFonts w:asciiTheme="majorHAnsi" w:hAnsiTheme="majorHAnsi" w:cstheme="majorHAnsi"/>
            <w:noProof/>
            <w:webHidden/>
          </w:rPr>
        </w:r>
        <w:r w:rsidR="00D20468" w:rsidRPr="00EC759A">
          <w:rPr>
            <w:rFonts w:asciiTheme="majorHAnsi" w:hAnsiTheme="majorHAnsi" w:cstheme="majorHAnsi"/>
            <w:noProof/>
            <w:webHidden/>
          </w:rPr>
          <w:fldChar w:fldCharType="separate"/>
        </w:r>
        <w:r w:rsidR="00D20468" w:rsidRPr="00EC759A">
          <w:rPr>
            <w:rFonts w:asciiTheme="majorHAnsi" w:hAnsiTheme="majorHAnsi" w:cstheme="majorHAnsi"/>
            <w:noProof/>
            <w:webHidden/>
          </w:rPr>
          <w:t>3</w:t>
        </w:r>
        <w:r w:rsidR="00D20468" w:rsidRPr="00EC759A">
          <w:rPr>
            <w:rFonts w:asciiTheme="majorHAnsi" w:hAnsiTheme="majorHAnsi" w:cstheme="majorHAnsi"/>
            <w:noProof/>
            <w:webHidden/>
          </w:rPr>
          <w:fldChar w:fldCharType="end"/>
        </w:r>
      </w:hyperlink>
    </w:p>
    <w:p w14:paraId="41801ACF" w14:textId="2382BF18" w:rsidR="00D20468" w:rsidRPr="00EC759A" w:rsidRDefault="00CE3A6C">
      <w:pPr>
        <w:pStyle w:val="TOC2"/>
        <w:tabs>
          <w:tab w:val="right" w:leader="underscore" w:pos="9350"/>
        </w:tabs>
        <w:rPr>
          <w:rFonts w:asciiTheme="majorHAnsi" w:eastAsiaTheme="minorEastAsia" w:hAnsiTheme="majorHAnsi" w:cstheme="majorHAnsi"/>
          <w:b w:val="0"/>
          <w:bCs w:val="0"/>
          <w:noProof/>
          <w:kern w:val="2"/>
          <w:lang w:eastAsia="en-US"/>
          <w14:ligatures w14:val="standardContextual"/>
        </w:rPr>
      </w:pPr>
      <w:hyperlink w:anchor="_Toc145507619" w:history="1">
        <w:r w:rsidR="00D20468" w:rsidRPr="00EC759A">
          <w:rPr>
            <w:rStyle w:val="Hyperlink"/>
            <w:rFonts w:asciiTheme="majorHAnsi" w:hAnsiTheme="majorHAnsi" w:cstheme="majorHAnsi"/>
            <w:noProof/>
            <w:lang w:val="en-US"/>
          </w:rPr>
          <w:t>1.2 The Question of the Time Framework (“Marco Temporal”)</w:t>
        </w:r>
        <w:r w:rsidR="00D20468" w:rsidRPr="00EC759A">
          <w:rPr>
            <w:rFonts w:asciiTheme="majorHAnsi" w:hAnsiTheme="majorHAnsi" w:cstheme="majorHAnsi"/>
            <w:noProof/>
            <w:webHidden/>
          </w:rPr>
          <w:tab/>
        </w:r>
        <w:r w:rsidR="00D20468" w:rsidRPr="00EC759A">
          <w:rPr>
            <w:rFonts w:asciiTheme="majorHAnsi" w:hAnsiTheme="majorHAnsi" w:cstheme="majorHAnsi"/>
            <w:noProof/>
            <w:webHidden/>
          </w:rPr>
          <w:fldChar w:fldCharType="begin"/>
        </w:r>
        <w:r w:rsidR="00D20468" w:rsidRPr="00EC759A">
          <w:rPr>
            <w:rFonts w:asciiTheme="majorHAnsi" w:hAnsiTheme="majorHAnsi" w:cstheme="majorHAnsi"/>
            <w:noProof/>
            <w:webHidden/>
          </w:rPr>
          <w:instrText xml:space="preserve"> PAGEREF _Toc145507619 \h </w:instrText>
        </w:r>
        <w:r w:rsidR="00D20468" w:rsidRPr="00EC759A">
          <w:rPr>
            <w:rFonts w:asciiTheme="majorHAnsi" w:hAnsiTheme="majorHAnsi" w:cstheme="majorHAnsi"/>
            <w:noProof/>
            <w:webHidden/>
          </w:rPr>
        </w:r>
        <w:r w:rsidR="00D20468" w:rsidRPr="00EC759A">
          <w:rPr>
            <w:rFonts w:asciiTheme="majorHAnsi" w:hAnsiTheme="majorHAnsi" w:cstheme="majorHAnsi"/>
            <w:noProof/>
            <w:webHidden/>
          </w:rPr>
          <w:fldChar w:fldCharType="separate"/>
        </w:r>
        <w:r w:rsidR="00D20468" w:rsidRPr="00EC759A">
          <w:rPr>
            <w:rFonts w:asciiTheme="majorHAnsi" w:hAnsiTheme="majorHAnsi" w:cstheme="majorHAnsi"/>
            <w:noProof/>
            <w:webHidden/>
          </w:rPr>
          <w:t>3</w:t>
        </w:r>
        <w:r w:rsidR="00D20468" w:rsidRPr="00EC759A">
          <w:rPr>
            <w:rFonts w:asciiTheme="majorHAnsi" w:hAnsiTheme="majorHAnsi" w:cstheme="majorHAnsi"/>
            <w:noProof/>
            <w:webHidden/>
          </w:rPr>
          <w:fldChar w:fldCharType="end"/>
        </w:r>
      </w:hyperlink>
    </w:p>
    <w:p w14:paraId="6A914E57" w14:textId="468F7E22" w:rsidR="00D20468" w:rsidRPr="00EC759A" w:rsidRDefault="00CE3A6C">
      <w:pPr>
        <w:pStyle w:val="TOC2"/>
        <w:tabs>
          <w:tab w:val="right" w:leader="underscore" w:pos="9350"/>
        </w:tabs>
        <w:rPr>
          <w:rFonts w:asciiTheme="majorHAnsi" w:eastAsiaTheme="minorEastAsia" w:hAnsiTheme="majorHAnsi" w:cstheme="majorHAnsi"/>
          <w:b w:val="0"/>
          <w:bCs w:val="0"/>
          <w:noProof/>
          <w:kern w:val="2"/>
          <w:lang w:eastAsia="en-US"/>
          <w14:ligatures w14:val="standardContextual"/>
        </w:rPr>
      </w:pPr>
      <w:hyperlink w:anchor="_Toc145507620" w:history="1">
        <w:r w:rsidR="00D20468" w:rsidRPr="00EC759A">
          <w:rPr>
            <w:rStyle w:val="Hyperlink"/>
            <w:rFonts w:asciiTheme="majorHAnsi" w:hAnsiTheme="majorHAnsi" w:cstheme="majorHAnsi"/>
            <w:noProof/>
            <w:lang w:val="en-US"/>
          </w:rPr>
          <w:t>1.3. Institutional Violence in the Context of Traditional Land Reclaims ("Retomadas")</w:t>
        </w:r>
        <w:r w:rsidR="00D20468" w:rsidRPr="00EC759A">
          <w:rPr>
            <w:rFonts w:asciiTheme="majorHAnsi" w:hAnsiTheme="majorHAnsi" w:cstheme="majorHAnsi"/>
            <w:noProof/>
            <w:webHidden/>
          </w:rPr>
          <w:tab/>
        </w:r>
        <w:r w:rsidR="00D20468" w:rsidRPr="00EC759A">
          <w:rPr>
            <w:rFonts w:asciiTheme="majorHAnsi" w:hAnsiTheme="majorHAnsi" w:cstheme="majorHAnsi"/>
            <w:noProof/>
            <w:webHidden/>
          </w:rPr>
          <w:fldChar w:fldCharType="begin"/>
        </w:r>
        <w:r w:rsidR="00D20468" w:rsidRPr="00EC759A">
          <w:rPr>
            <w:rFonts w:asciiTheme="majorHAnsi" w:hAnsiTheme="majorHAnsi" w:cstheme="majorHAnsi"/>
            <w:noProof/>
            <w:webHidden/>
          </w:rPr>
          <w:instrText xml:space="preserve"> PAGEREF _Toc145507620 \h </w:instrText>
        </w:r>
        <w:r w:rsidR="00D20468" w:rsidRPr="00EC759A">
          <w:rPr>
            <w:rFonts w:asciiTheme="majorHAnsi" w:hAnsiTheme="majorHAnsi" w:cstheme="majorHAnsi"/>
            <w:noProof/>
            <w:webHidden/>
          </w:rPr>
        </w:r>
        <w:r w:rsidR="00D20468" w:rsidRPr="00EC759A">
          <w:rPr>
            <w:rFonts w:asciiTheme="majorHAnsi" w:hAnsiTheme="majorHAnsi" w:cstheme="majorHAnsi"/>
            <w:noProof/>
            <w:webHidden/>
          </w:rPr>
          <w:fldChar w:fldCharType="separate"/>
        </w:r>
        <w:r w:rsidR="00D20468" w:rsidRPr="00EC759A">
          <w:rPr>
            <w:rFonts w:asciiTheme="majorHAnsi" w:hAnsiTheme="majorHAnsi" w:cstheme="majorHAnsi"/>
            <w:noProof/>
            <w:webHidden/>
          </w:rPr>
          <w:t>5</w:t>
        </w:r>
        <w:r w:rsidR="00D20468" w:rsidRPr="00EC759A">
          <w:rPr>
            <w:rFonts w:asciiTheme="majorHAnsi" w:hAnsiTheme="majorHAnsi" w:cstheme="majorHAnsi"/>
            <w:noProof/>
            <w:webHidden/>
          </w:rPr>
          <w:fldChar w:fldCharType="end"/>
        </w:r>
      </w:hyperlink>
    </w:p>
    <w:p w14:paraId="637742F5" w14:textId="66E8984E" w:rsidR="00D20468" w:rsidRPr="00EC759A" w:rsidRDefault="00CE3A6C">
      <w:pPr>
        <w:pStyle w:val="TOC1"/>
        <w:tabs>
          <w:tab w:val="right" w:leader="underscore" w:pos="9350"/>
        </w:tabs>
        <w:rPr>
          <w:rFonts w:asciiTheme="majorHAnsi" w:eastAsiaTheme="minorEastAsia" w:hAnsiTheme="majorHAnsi" w:cstheme="majorHAnsi"/>
          <w:b w:val="0"/>
          <w:bCs w:val="0"/>
          <w:i w:val="0"/>
          <w:iCs w:val="0"/>
          <w:noProof/>
          <w:kern w:val="2"/>
          <w:sz w:val="22"/>
          <w:szCs w:val="22"/>
          <w:lang w:eastAsia="en-US"/>
          <w14:ligatures w14:val="standardContextual"/>
        </w:rPr>
      </w:pPr>
      <w:hyperlink w:anchor="_Toc145507621" w:history="1">
        <w:r w:rsidR="00D20468" w:rsidRPr="00EC759A">
          <w:rPr>
            <w:rStyle w:val="Hyperlink"/>
            <w:rFonts w:asciiTheme="majorHAnsi" w:hAnsiTheme="majorHAnsi" w:cstheme="majorHAnsi"/>
            <w:i w:val="0"/>
            <w:iCs w:val="0"/>
            <w:noProof/>
            <w:sz w:val="22"/>
            <w:szCs w:val="22"/>
            <w:lang w:val="en-US"/>
          </w:rPr>
          <w:t>2 - Article 2: Implementation of the ICESCR</w:t>
        </w:r>
        <w:r w:rsidR="00D20468" w:rsidRPr="00EC759A">
          <w:rPr>
            <w:rFonts w:asciiTheme="majorHAnsi" w:hAnsiTheme="majorHAnsi" w:cstheme="majorHAnsi"/>
            <w:i w:val="0"/>
            <w:iCs w:val="0"/>
            <w:noProof/>
            <w:webHidden/>
            <w:sz w:val="22"/>
            <w:szCs w:val="22"/>
          </w:rPr>
          <w:tab/>
        </w:r>
        <w:r w:rsidR="00D20468" w:rsidRPr="00EC759A">
          <w:rPr>
            <w:rFonts w:asciiTheme="majorHAnsi" w:hAnsiTheme="majorHAnsi" w:cstheme="majorHAnsi"/>
            <w:i w:val="0"/>
            <w:iCs w:val="0"/>
            <w:noProof/>
            <w:webHidden/>
            <w:sz w:val="22"/>
            <w:szCs w:val="22"/>
          </w:rPr>
          <w:fldChar w:fldCharType="begin"/>
        </w:r>
        <w:r w:rsidR="00D20468" w:rsidRPr="00EC759A">
          <w:rPr>
            <w:rFonts w:asciiTheme="majorHAnsi" w:hAnsiTheme="majorHAnsi" w:cstheme="majorHAnsi"/>
            <w:i w:val="0"/>
            <w:iCs w:val="0"/>
            <w:noProof/>
            <w:webHidden/>
            <w:sz w:val="22"/>
            <w:szCs w:val="22"/>
          </w:rPr>
          <w:instrText xml:space="preserve"> PAGEREF _Toc145507621 \h </w:instrText>
        </w:r>
        <w:r w:rsidR="00D20468" w:rsidRPr="00EC759A">
          <w:rPr>
            <w:rFonts w:asciiTheme="majorHAnsi" w:hAnsiTheme="majorHAnsi" w:cstheme="majorHAnsi"/>
            <w:i w:val="0"/>
            <w:iCs w:val="0"/>
            <w:noProof/>
            <w:webHidden/>
            <w:sz w:val="22"/>
            <w:szCs w:val="22"/>
          </w:rPr>
        </w:r>
        <w:r w:rsidR="00D20468" w:rsidRPr="00EC759A">
          <w:rPr>
            <w:rFonts w:asciiTheme="majorHAnsi" w:hAnsiTheme="majorHAnsi" w:cstheme="majorHAnsi"/>
            <w:i w:val="0"/>
            <w:iCs w:val="0"/>
            <w:noProof/>
            <w:webHidden/>
            <w:sz w:val="22"/>
            <w:szCs w:val="22"/>
          </w:rPr>
          <w:fldChar w:fldCharType="separate"/>
        </w:r>
        <w:r w:rsidR="00D20468" w:rsidRPr="00EC759A">
          <w:rPr>
            <w:rFonts w:asciiTheme="majorHAnsi" w:hAnsiTheme="majorHAnsi" w:cstheme="majorHAnsi"/>
            <w:i w:val="0"/>
            <w:iCs w:val="0"/>
            <w:noProof/>
            <w:webHidden/>
            <w:sz w:val="22"/>
            <w:szCs w:val="22"/>
          </w:rPr>
          <w:t>6</w:t>
        </w:r>
        <w:r w:rsidR="00D20468" w:rsidRPr="00EC759A">
          <w:rPr>
            <w:rFonts w:asciiTheme="majorHAnsi" w:hAnsiTheme="majorHAnsi" w:cstheme="majorHAnsi"/>
            <w:i w:val="0"/>
            <w:iCs w:val="0"/>
            <w:noProof/>
            <w:webHidden/>
            <w:sz w:val="22"/>
            <w:szCs w:val="22"/>
          </w:rPr>
          <w:fldChar w:fldCharType="end"/>
        </w:r>
      </w:hyperlink>
    </w:p>
    <w:p w14:paraId="7150ABA9" w14:textId="1FFC69B7" w:rsidR="00D20468" w:rsidRPr="00EC759A" w:rsidRDefault="00CE3A6C">
      <w:pPr>
        <w:pStyle w:val="TOC2"/>
        <w:tabs>
          <w:tab w:val="right" w:leader="underscore" w:pos="9350"/>
        </w:tabs>
        <w:rPr>
          <w:rFonts w:asciiTheme="majorHAnsi" w:eastAsiaTheme="minorEastAsia" w:hAnsiTheme="majorHAnsi" w:cstheme="majorHAnsi"/>
          <w:b w:val="0"/>
          <w:bCs w:val="0"/>
          <w:noProof/>
          <w:kern w:val="2"/>
          <w:lang w:eastAsia="en-US"/>
          <w14:ligatures w14:val="standardContextual"/>
        </w:rPr>
      </w:pPr>
      <w:hyperlink w:anchor="_Toc145507622" w:history="1">
        <w:r w:rsidR="00D20468" w:rsidRPr="00EC759A">
          <w:rPr>
            <w:rStyle w:val="Hyperlink"/>
            <w:rFonts w:asciiTheme="majorHAnsi" w:hAnsiTheme="majorHAnsi" w:cstheme="majorHAnsi"/>
            <w:noProof/>
            <w:lang w:val="en-US"/>
          </w:rPr>
          <w:t>2.1 Systemic Inequalities in Brazil</w:t>
        </w:r>
        <w:r w:rsidR="00D20468" w:rsidRPr="00EC759A">
          <w:rPr>
            <w:rFonts w:asciiTheme="majorHAnsi" w:hAnsiTheme="majorHAnsi" w:cstheme="majorHAnsi"/>
            <w:noProof/>
            <w:webHidden/>
          </w:rPr>
          <w:tab/>
        </w:r>
        <w:r w:rsidR="00D20468" w:rsidRPr="00EC759A">
          <w:rPr>
            <w:rFonts w:asciiTheme="majorHAnsi" w:hAnsiTheme="majorHAnsi" w:cstheme="majorHAnsi"/>
            <w:noProof/>
            <w:webHidden/>
          </w:rPr>
          <w:fldChar w:fldCharType="begin"/>
        </w:r>
        <w:r w:rsidR="00D20468" w:rsidRPr="00EC759A">
          <w:rPr>
            <w:rFonts w:asciiTheme="majorHAnsi" w:hAnsiTheme="majorHAnsi" w:cstheme="majorHAnsi"/>
            <w:noProof/>
            <w:webHidden/>
          </w:rPr>
          <w:instrText xml:space="preserve"> PAGEREF _Toc145507622 \h </w:instrText>
        </w:r>
        <w:r w:rsidR="00D20468" w:rsidRPr="00EC759A">
          <w:rPr>
            <w:rFonts w:asciiTheme="majorHAnsi" w:hAnsiTheme="majorHAnsi" w:cstheme="majorHAnsi"/>
            <w:noProof/>
            <w:webHidden/>
          </w:rPr>
        </w:r>
        <w:r w:rsidR="00D20468" w:rsidRPr="00EC759A">
          <w:rPr>
            <w:rFonts w:asciiTheme="majorHAnsi" w:hAnsiTheme="majorHAnsi" w:cstheme="majorHAnsi"/>
            <w:noProof/>
            <w:webHidden/>
          </w:rPr>
          <w:fldChar w:fldCharType="separate"/>
        </w:r>
        <w:r w:rsidR="00D20468" w:rsidRPr="00EC759A">
          <w:rPr>
            <w:rFonts w:asciiTheme="majorHAnsi" w:hAnsiTheme="majorHAnsi" w:cstheme="majorHAnsi"/>
            <w:noProof/>
            <w:webHidden/>
          </w:rPr>
          <w:t>6</w:t>
        </w:r>
        <w:r w:rsidR="00D20468" w:rsidRPr="00EC759A">
          <w:rPr>
            <w:rFonts w:asciiTheme="majorHAnsi" w:hAnsiTheme="majorHAnsi" w:cstheme="majorHAnsi"/>
            <w:noProof/>
            <w:webHidden/>
          </w:rPr>
          <w:fldChar w:fldCharType="end"/>
        </w:r>
      </w:hyperlink>
    </w:p>
    <w:p w14:paraId="3ED6597F" w14:textId="104395B3" w:rsidR="00D20468" w:rsidRPr="00EC759A" w:rsidRDefault="00CE3A6C">
      <w:pPr>
        <w:pStyle w:val="TOC2"/>
        <w:tabs>
          <w:tab w:val="right" w:leader="underscore" w:pos="9350"/>
        </w:tabs>
        <w:rPr>
          <w:rFonts w:asciiTheme="majorHAnsi" w:eastAsiaTheme="minorEastAsia" w:hAnsiTheme="majorHAnsi" w:cstheme="majorHAnsi"/>
          <w:b w:val="0"/>
          <w:bCs w:val="0"/>
          <w:noProof/>
          <w:kern w:val="2"/>
          <w:lang w:eastAsia="en-US"/>
          <w14:ligatures w14:val="standardContextual"/>
        </w:rPr>
      </w:pPr>
      <w:hyperlink w:anchor="_Toc145507623" w:history="1">
        <w:r w:rsidR="00D20468" w:rsidRPr="00EC759A">
          <w:rPr>
            <w:rStyle w:val="Hyperlink"/>
            <w:rFonts w:asciiTheme="majorHAnsi" w:hAnsiTheme="majorHAnsi" w:cstheme="majorHAnsi"/>
            <w:noProof/>
            <w:lang w:val="en-US"/>
          </w:rPr>
          <w:t>2.2 Implementation of the ICESCR in the Domestic Sphere</w:t>
        </w:r>
        <w:r w:rsidR="00D20468" w:rsidRPr="00EC759A">
          <w:rPr>
            <w:rFonts w:asciiTheme="majorHAnsi" w:hAnsiTheme="majorHAnsi" w:cstheme="majorHAnsi"/>
            <w:noProof/>
            <w:webHidden/>
          </w:rPr>
          <w:tab/>
        </w:r>
        <w:r w:rsidR="00D20468" w:rsidRPr="00EC759A">
          <w:rPr>
            <w:rFonts w:asciiTheme="majorHAnsi" w:hAnsiTheme="majorHAnsi" w:cstheme="majorHAnsi"/>
            <w:noProof/>
            <w:webHidden/>
          </w:rPr>
          <w:fldChar w:fldCharType="begin"/>
        </w:r>
        <w:r w:rsidR="00D20468" w:rsidRPr="00EC759A">
          <w:rPr>
            <w:rFonts w:asciiTheme="majorHAnsi" w:hAnsiTheme="majorHAnsi" w:cstheme="majorHAnsi"/>
            <w:noProof/>
            <w:webHidden/>
          </w:rPr>
          <w:instrText xml:space="preserve"> PAGEREF _Toc145507623 \h </w:instrText>
        </w:r>
        <w:r w:rsidR="00D20468" w:rsidRPr="00EC759A">
          <w:rPr>
            <w:rFonts w:asciiTheme="majorHAnsi" w:hAnsiTheme="majorHAnsi" w:cstheme="majorHAnsi"/>
            <w:noProof/>
            <w:webHidden/>
          </w:rPr>
        </w:r>
        <w:r w:rsidR="00D20468" w:rsidRPr="00EC759A">
          <w:rPr>
            <w:rFonts w:asciiTheme="majorHAnsi" w:hAnsiTheme="majorHAnsi" w:cstheme="majorHAnsi"/>
            <w:noProof/>
            <w:webHidden/>
          </w:rPr>
          <w:fldChar w:fldCharType="separate"/>
        </w:r>
        <w:r w:rsidR="00D20468" w:rsidRPr="00EC759A">
          <w:rPr>
            <w:rFonts w:asciiTheme="majorHAnsi" w:hAnsiTheme="majorHAnsi" w:cstheme="majorHAnsi"/>
            <w:noProof/>
            <w:webHidden/>
          </w:rPr>
          <w:t>7</w:t>
        </w:r>
        <w:r w:rsidR="00D20468" w:rsidRPr="00EC759A">
          <w:rPr>
            <w:rFonts w:asciiTheme="majorHAnsi" w:hAnsiTheme="majorHAnsi" w:cstheme="majorHAnsi"/>
            <w:noProof/>
            <w:webHidden/>
          </w:rPr>
          <w:fldChar w:fldCharType="end"/>
        </w:r>
      </w:hyperlink>
    </w:p>
    <w:p w14:paraId="40343494" w14:textId="45967A61" w:rsidR="00D20468" w:rsidRPr="00EC759A" w:rsidRDefault="00CE3A6C">
      <w:pPr>
        <w:pStyle w:val="TOC1"/>
        <w:tabs>
          <w:tab w:val="right" w:leader="underscore" w:pos="9350"/>
        </w:tabs>
        <w:rPr>
          <w:rFonts w:asciiTheme="majorHAnsi" w:eastAsiaTheme="minorEastAsia" w:hAnsiTheme="majorHAnsi" w:cstheme="majorHAnsi"/>
          <w:b w:val="0"/>
          <w:bCs w:val="0"/>
          <w:i w:val="0"/>
          <w:iCs w:val="0"/>
          <w:noProof/>
          <w:kern w:val="2"/>
          <w:sz w:val="22"/>
          <w:szCs w:val="22"/>
          <w:lang w:eastAsia="en-US"/>
          <w14:ligatures w14:val="standardContextual"/>
        </w:rPr>
      </w:pPr>
      <w:hyperlink w:anchor="_Toc145507624" w:history="1">
        <w:r w:rsidR="00D20468" w:rsidRPr="00EC759A">
          <w:rPr>
            <w:rStyle w:val="Hyperlink"/>
            <w:rFonts w:asciiTheme="majorHAnsi" w:hAnsiTheme="majorHAnsi" w:cstheme="majorHAnsi"/>
            <w:i w:val="0"/>
            <w:iCs w:val="0"/>
            <w:noProof/>
            <w:sz w:val="22"/>
            <w:szCs w:val="22"/>
            <w:lang w:val="en-US"/>
          </w:rPr>
          <w:t>3 - Article 7 ICESCR: Right to work</w:t>
        </w:r>
        <w:r w:rsidR="00D20468" w:rsidRPr="00EC759A">
          <w:rPr>
            <w:rFonts w:asciiTheme="majorHAnsi" w:hAnsiTheme="majorHAnsi" w:cstheme="majorHAnsi"/>
            <w:i w:val="0"/>
            <w:iCs w:val="0"/>
            <w:noProof/>
            <w:webHidden/>
            <w:sz w:val="22"/>
            <w:szCs w:val="22"/>
          </w:rPr>
          <w:tab/>
        </w:r>
        <w:r w:rsidR="00D20468" w:rsidRPr="00EC759A">
          <w:rPr>
            <w:rFonts w:asciiTheme="majorHAnsi" w:hAnsiTheme="majorHAnsi" w:cstheme="majorHAnsi"/>
            <w:i w:val="0"/>
            <w:iCs w:val="0"/>
            <w:noProof/>
            <w:webHidden/>
            <w:sz w:val="22"/>
            <w:szCs w:val="22"/>
          </w:rPr>
          <w:fldChar w:fldCharType="begin"/>
        </w:r>
        <w:r w:rsidR="00D20468" w:rsidRPr="00EC759A">
          <w:rPr>
            <w:rFonts w:asciiTheme="majorHAnsi" w:hAnsiTheme="majorHAnsi" w:cstheme="majorHAnsi"/>
            <w:i w:val="0"/>
            <w:iCs w:val="0"/>
            <w:noProof/>
            <w:webHidden/>
            <w:sz w:val="22"/>
            <w:szCs w:val="22"/>
          </w:rPr>
          <w:instrText xml:space="preserve"> PAGEREF _Toc145507624 \h </w:instrText>
        </w:r>
        <w:r w:rsidR="00D20468" w:rsidRPr="00EC759A">
          <w:rPr>
            <w:rFonts w:asciiTheme="majorHAnsi" w:hAnsiTheme="majorHAnsi" w:cstheme="majorHAnsi"/>
            <w:i w:val="0"/>
            <w:iCs w:val="0"/>
            <w:noProof/>
            <w:webHidden/>
            <w:sz w:val="22"/>
            <w:szCs w:val="22"/>
          </w:rPr>
        </w:r>
        <w:r w:rsidR="00D20468" w:rsidRPr="00EC759A">
          <w:rPr>
            <w:rFonts w:asciiTheme="majorHAnsi" w:hAnsiTheme="majorHAnsi" w:cstheme="majorHAnsi"/>
            <w:i w:val="0"/>
            <w:iCs w:val="0"/>
            <w:noProof/>
            <w:webHidden/>
            <w:sz w:val="22"/>
            <w:szCs w:val="22"/>
          </w:rPr>
          <w:fldChar w:fldCharType="separate"/>
        </w:r>
        <w:r w:rsidR="00D20468" w:rsidRPr="00EC759A">
          <w:rPr>
            <w:rFonts w:asciiTheme="majorHAnsi" w:hAnsiTheme="majorHAnsi" w:cstheme="majorHAnsi"/>
            <w:i w:val="0"/>
            <w:iCs w:val="0"/>
            <w:noProof/>
            <w:webHidden/>
            <w:sz w:val="22"/>
            <w:szCs w:val="22"/>
          </w:rPr>
          <w:t>8</w:t>
        </w:r>
        <w:r w:rsidR="00D20468" w:rsidRPr="00EC759A">
          <w:rPr>
            <w:rFonts w:asciiTheme="majorHAnsi" w:hAnsiTheme="majorHAnsi" w:cstheme="majorHAnsi"/>
            <w:i w:val="0"/>
            <w:iCs w:val="0"/>
            <w:noProof/>
            <w:webHidden/>
            <w:sz w:val="22"/>
            <w:szCs w:val="22"/>
          </w:rPr>
          <w:fldChar w:fldCharType="end"/>
        </w:r>
      </w:hyperlink>
    </w:p>
    <w:p w14:paraId="2DD1EAA2" w14:textId="0C453D9F" w:rsidR="00D20468" w:rsidRPr="00EC759A" w:rsidRDefault="00CE3A6C">
      <w:pPr>
        <w:pStyle w:val="TOC2"/>
        <w:tabs>
          <w:tab w:val="right" w:leader="underscore" w:pos="9350"/>
        </w:tabs>
        <w:rPr>
          <w:rFonts w:asciiTheme="majorHAnsi" w:eastAsiaTheme="minorEastAsia" w:hAnsiTheme="majorHAnsi" w:cstheme="majorHAnsi"/>
          <w:b w:val="0"/>
          <w:bCs w:val="0"/>
          <w:noProof/>
          <w:kern w:val="2"/>
          <w:lang w:eastAsia="en-US"/>
          <w14:ligatures w14:val="standardContextual"/>
        </w:rPr>
      </w:pPr>
      <w:hyperlink w:anchor="_Toc145507625" w:history="1">
        <w:r w:rsidR="00D20468" w:rsidRPr="00EC759A">
          <w:rPr>
            <w:rStyle w:val="Hyperlink"/>
            <w:rFonts w:asciiTheme="majorHAnsi" w:hAnsiTheme="majorHAnsi" w:cstheme="majorHAnsi"/>
            <w:noProof/>
            <w:lang w:val="en-US"/>
          </w:rPr>
          <w:t>3.1 Work, race and gender</w:t>
        </w:r>
        <w:r w:rsidR="00D20468" w:rsidRPr="00EC759A">
          <w:rPr>
            <w:rFonts w:asciiTheme="majorHAnsi" w:hAnsiTheme="majorHAnsi" w:cstheme="majorHAnsi"/>
            <w:noProof/>
            <w:webHidden/>
          </w:rPr>
          <w:tab/>
        </w:r>
        <w:r w:rsidR="00D20468" w:rsidRPr="00EC759A">
          <w:rPr>
            <w:rFonts w:asciiTheme="majorHAnsi" w:hAnsiTheme="majorHAnsi" w:cstheme="majorHAnsi"/>
            <w:noProof/>
            <w:webHidden/>
          </w:rPr>
          <w:fldChar w:fldCharType="begin"/>
        </w:r>
        <w:r w:rsidR="00D20468" w:rsidRPr="00EC759A">
          <w:rPr>
            <w:rFonts w:asciiTheme="majorHAnsi" w:hAnsiTheme="majorHAnsi" w:cstheme="majorHAnsi"/>
            <w:noProof/>
            <w:webHidden/>
          </w:rPr>
          <w:instrText xml:space="preserve"> PAGEREF _Toc145507625 \h </w:instrText>
        </w:r>
        <w:r w:rsidR="00D20468" w:rsidRPr="00EC759A">
          <w:rPr>
            <w:rFonts w:asciiTheme="majorHAnsi" w:hAnsiTheme="majorHAnsi" w:cstheme="majorHAnsi"/>
            <w:noProof/>
            <w:webHidden/>
          </w:rPr>
        </w:r>
        <w:r w:rsidR="00D20468" w:rsidRPr="00EC759A">
          <w:rPr>
            <w:rFonts w:asciiTheme="majorHAnsi" w:hAnsiTheme="majorHAnsi" w:cstheme="majorHAnsi"/>
            <w:noProof/>
            <w:webHidden/>
          </w:rPr>
          <w:fldChar w:fldCharType="separate"/>
        </w:r>
        <w:r w:rsidR="00D20468" w:rsidRPr="00EC759A">
          <w:rPr>
            <w:rFonts w:asciiTheme="majorHAnsi" w:hAnsiTheme="majorHAnsi" w:cstheme="majorHAnsi"/>
            <w:noProof/>
            <w:webHidden/>
          </w:rPr>
          <w:t>11</w:t>
        </w:r>
        <w:r w:rsidR="00D20468" w:rsidRPr="00EC759A">
          <w:rPr>
            <w:rFonts w:asciiTheme="majorHAnsi" w:hAnsiTheme="majorHAnsi" w:cstheme="majorHAnsi"/>
            <w:noProof/>
            <w:webHidden/>
          </w:rPr>
          <w:fldChar w:fldCharType="end"/>
        </w:r>
      </w:hyperlink>
    </w:p>
    <w:p w14:paraId="69230CA9" w14:textId="44FA28F5" w:rsidR="00D20468" w:rsidRPr="00EC759A" w:rsidRDefault="00CE3A6C">
      <w:pPr>
        <w:pStyle w:val="TOC1"/>
        <w:tabs>
          <w:tab w:val="right" w:leader="underscore" w:pos="9350"/>
        </w:tabs>
        <w:rPr>
          <w:rFonts w:asciiTheme="majorHAnsi" w:eastAsiaTheme="minorEastAsia" w:hAnsiTheme="majorHAnsi" w:cstheme="majorHAnsi"/>
          <w:b w:val="0"/>
          <w:bCs w:val="0"/>
          <w:i w:val="0"/>
          <w:iCs w:val="0"/>
          <w:noProof/>
          <w:kern w:val="2"/>
          <w:sz w:val="22"/>
          <w:szCs w:val="22"/>
          <w:lang w:eastAsia="en-US"/>
          <w14:ligatures w14:val="standardContextual"/>
        </w:rPr>
      </w:pPr>
      <w:hyperlink w:anchor="_Toc145507626" w:history="1">
        <w:r w:rsidR="00D20468" w:rsidRPr="00EC759A">
          <w:rPr>
            <w:rStyle w:val="Hyperlink"/>
            <w:rFonts w:asciiTheme="majorHAnsi" w:hAnsiTheme="majorHAnsi" w:cstheme="majorHAnsi"/>
            <w:i w:val="0"/>
            <w:iCs w:val="0"/>
            <w:noProof/>
            <w:sz w:val="22"/>
            <w:szCs w:val="22"/>
            <w:lang w:val="en-US"/>
          </w:rPr>
          <w:t>4 - Article 10 ICESCR: Protection of the Family</w:t>
        </w:r>
        <w:r w:rsidR="00D20468" w:rsidRPr="00EC759A">
          <w:rPr>
            <w:rFonts w:asciiTheme="majorHAnsi" w:hAnsiTheme="majorHAnsi" w:cstheme="majorHAnsi"/>
            <w:i w:val="0"/>
            <w:iCs w:val="0"/>
            <w:noProof/>
            <w:webHidden/>
            <w:sz w:val="22"/>
            <w:szCs w:val="22"/>
          </w:rPr>
          <w:tab/>
        </w:r>
        <w:r w:rsidR="00D20468" w:rsidRPr="00EC759A">
          <w:rPr>
            <w:rFonts w:asciiTheme="majorHAnsi" w:hAnsiTheme="majorHAnsi" w:cstheme="majorHAnsi"/>
            <w:i w:val="0"/>
            <w:iCs w:val="0"/>
            <w:noProof/>
            <w:webHidden/>
            <w:sz w:val="22"/>
            <w:szCs w:val="22"/>
          </w:rPr>
          <w:fldChar w:fldCharType="begin"/>
        </w:r>
        <w:r w:rsidR="00D20468" w:rsidRPr="00EC759A">
          <w:rPr>
            <w:rFonts w:asciiTheme="majorHAnsi" w:hAnsiTheme="majorHAnsi" w:cstheme="majorHAnsi"/>
            <w:i w:val="0"/>
            <w:iCs w:val="0"/>
            <w:noProof/>
            <w:webHidden/>
            <w:sz w:val="22"/>
            <w:szCs w:val="22"/>
          </w:rPr>
          <w:instrText xml:space="preserve"> PAGEREF _Toc145507626 \h </w:instrText>
        </w:r>
        <w:r w:rsidR="00D20468" w:rsidRPr="00EC759A">
          <w:rPr>
            <w:rFonts w:asciiTheme="majorHAnsi" w:hAnsiTheme="majorHAnsi" w:cstheme="majorHAnsi"/>
            <w:i w:val="0"/>
            <w:iCs w:val="0"/>
            <w:noProof/>
            <w:webHidden/>
            <w:sz w:val="22"/>
            <w:szCs w:val="22"/>
          </w:rPr>
        </w:r>
        <w:r w:rsidR="00D20468" w:rsidRPr="00EC759A">
          <w:rPr>
            <w:rFonts w:asciiTheme="majorHAnsi" w:hAnsiTheme="majorHAnsi" w:cstheme="majorHAnsi"/>
            <w:i w:val="0"/>
            <w:iCs w:val="0"/>
            <w:noProof/>
            <w:webHidden/>
            <w:sz w:val="22"/>
            <w:szCs w:val="22"/>
          </w:rPr>
          <w:fldChar w:fldCharType="separate"/>
        </w:r>
        <w:r w:rsidR="00D20468" w:rsidRPr="00EC759A">
          <w:rPr>
            <w:rFonts w:asciiTheme="majorHAnsi" w:hAnsiTheme="majorHAnsi" w:cstheme="majorHAnsi"/>
            <w:i w:val="0"/>
            <w:iCs w:val="0"/>
            <w:noProof/>
            <w:webHidden/>
            <w:sz w:val="22"/>
            <w:szCs w:val="22"/>
          </w:rPr>
          <w:t>13</w:t>
        </w:r>
        <w:r w:rsidR="00D20468" w:rsidRPr="00EC759A">
          <w:rPr>
            <w:rFonts w:asciiTheme="majorHAnsi" w:hAnsiTheme="majorHAnsi" w:cstheme="majorHAnsi"/>
            <w:i w:val="0"/>
            <w:iCs w:val="0"/>
            <w:noProof/>
            <w:webHidden/>
            <w:sz w:val="22"/>
            <w:szCs w:val="22"/>
          </w:rPr>
          <w:fldChar w:fldCharType="end"/>
        </w:r>
      </w:hyperlink>
    </w:p>
    <w:p w14:paraId="00A99800" w14:textId="50DA695C" w:rsidR="00D20468" w:rsidRPr="00EC759A" w:rsidRDefault="00CE3A6C">
      <w:pPr>
        <w:pStyle w:val="TOC1"/>
        <w:tabs>
          <w:tab w:val="right" w:leader="underscore" w:pos="9350"/>
        </w:tabs>
        <w:rPr>
          <w:rFonts w:asciiTheme="majorHAnsi" w:eastAsiaTheme="minorEastAsia" w:hAnsiTheme="majorHAnsi" w:cstheme="majorHAnsi"/>
          <w:b w:val="0"/>
          <w:bCs w:val="0"/>
          <w:i w:val="0"/>
          <w:iCs w:val="0"/>
          <w:noProof/>
          <w:kern w:val="2"/>
          <w:sz w:val="22"/>
          <w:szCs w:val="22"/>
          <w:lang w:eastAsia="en-US"/>
          <w14:ligatures w14:val="standardContextual"/>
        </w:rPr>
      </w:pPr>
      <w:hyperlink w:anchor="_Toc145507627" w:history="1">
        <w:r w:rsidR="00D20468" w:rsidRPr="00EC759A">
          <w:rPr>
            <w:rStyle w:val="Hyperlink"/>
            <w:rFonts w:asciiTheme="majorHAnsi" w:hAnsiTheme="majorHAnsi" w:cstheme="majorHAnsi"/>
            <w:i w:val="0"/>
            <w:iCs w:val="0"/>
            <w:noProof/>
            <w:sz w:val="22"/>
            <w:szCs w:val="22"/>
            <w:highlight w:val="white"/>
            <w:lang w:val="en-US"/>
          </w:rPr>
          <w:t>5 - Article 13 ICESCR: Right to Education</w:t>
        </w:r>
        <w:r w:rsidR="00D20468" w:rsidRPr="00EC759A">
          <w:rPr>
            <w:rFonts w:asciiTheme="majorHAnsi" w:hAnsiTheme="majorHAnsi" w:cstheme="majorHAnsi"/>
            <w:i w:val="0"/>
            <w:iCs w:val="0"/>
            <w:noProof/>
            <w:webHidden/>
            <w:sz w:val="22"/>
            <w:szCs w:val="22"/>
          </w:rPr>
          <w:tab/>
        </w:r>
        <w:r w:rsidR="00D20468" w:rsidRPr="00EC759A">
          <w:rPr>
            <w:rFonts w:asciiTheme="majorHAnsi" w:hAnsiTheme="majorHAnsi" w:cstheme="majorHAnsi"/>
            <w:i w:val="0"/>
            <w:iCs w:val="0"/>
            <w:noProof/>
            <w:webHidden/>
            <w:sz w:val="22"/>
            <w:szCs w:val="22"/>
          </w:rPr>
          <w:fldChar w:fldCharType="begin"/>
        </w:r>
        <w:r w:rsidR="00D20468" w:rsidRPr="00EC759A">
          <w:rPr>
            <w:rFonts w:asciiTheme="majorHAnsi" w:hAnsiTheme="majorHAnsi" w:cstheme="majorHAnsi"/>
            <w:i w:val="0"/>
            <w:iCs w:val="0"/>
            <w:noProof/>
            <w:webHidden/>
            <w:sz w:val="22"/>
            <w:szCs w:val="22"/>
          </w:rPr>
          <w:instrText xml:space="preserve"> PAGEREF _Toc145507627 \h </w:instrText>
        </w:r>
        <w:r w:rsidR="00D20468" w:rsidRPr="00EC759A">
          <w:rPr>
            <w:rFonts w:asciiTheme="majorHAnsi" w:hAnsiTheme="majorHAnsi" w:cstheme="majorHAnsi"/>
            <w:i w:val="0"/>
            <w:iCs w:val="0"/>
            <w:noProof/>
            <w:webHidden/>
            <w:sz w:val="22"/>
            <w:szCs w:val="22"/>
          </w:rPr>
        </w:r>
        <w:r w:rsidR="00D20468" w:rsidRPr="00EC759A">
          <w:rPr>
            <w:rFonts w:asciiTheme="majorHAnsi" w:hAnsiTheme="majorHAnsi" w:cstheme="majorHAnsi"/>
            <w:i w:val="0"/>
            <w:iCs w:val="0"/>
            <w:noProof/>
            <w:webHidden/>
            <w:sz w:val="22"/>
            <w:szCs w:val="22"/>
          </w:rPr>
          <w:fldChar w:fldCharType="separate"/>
        </w:r>
        <w:r w:rsidR="00D20468" w:rsidRPr="00EC759A">
          <w:rPr>
            <w:rFonts w:asciiTheme="majorHAnsi" w:hAnsiTheme="majorHAnsi" w:cstheme="majorHAnsi"/>
            <w:i w:val="0"/>
            <w:iCs w:val="0"/>
            <w:noProof/>
            <w:webHidden/>
            <w:sz w:val="22"/>
            <w:szCs w:val="22"/>
          </w:rPr>
          <w:t>15</w:t>
        </w:r>
        <w:r w:rsidR="00D20468" w:rsidRPr="00EC759A">
          <w:rPr>
            <w:rFonts w:asciiTheme="majorHAnsi" w:hAnsiTheme="majorHAnsi" w:cstheme="majorHAnsi"/>
            <w:i w:val="0"/>
            <w:iCs w:val="0"/>
            <w:noProof/>
            <w:webHidden/>
            <w:sz w:val="22"/>
            <w:szCs w:val="22"/>
          </w:rPr>
          <w:fldChar w:fldCharType="end"/>
        </w:r>
      </w:hyperlink>
    </w:p>
    <w:p w14:paraId="0538DAFF" w14:textId="625291E4" w:rsidR="00D20468" w:rsidRPr="00EC759A" w:rsidRDefault="00CE3A6C">
      <w:pPr>
        <w:pStyle w:val="TOC1"/>
        <w:tabs>
          <w:tab w:val="right" w:leader="underscore" w:pos="9350"/>
        </w:tabs>
        <w:rPr>
          <w:rFonts w:asciiTheme="majorHAnsi" w:eastAsiaTheme="minorEastAsia" w:hAnsiTheme="majorHAnsi" w:cstheme="majorHAnsi"/>
          <w:b w:val="0"/>
          <w:bCs w:val="0"/>
          <w:i w:val="0"/>
          <w:iCs w:val="0"/>
          <w:noProof/>
          <w:kern w:val="2"/>
          <w:sz w:val="22"/>
          <w:szCs w:val="22"/>
          <w:lang w:eastAsia="en-US"/>
          <w14:ligatures w14:val="standardContextual"/>
        </w:rPr>
      </w:pPr>
      <w:hyperlink w:anchor="_Toc145507628" w:history="1">
        <w:r w:rsidR="00D20468" w:rsidRPr="00EC759A">
          <w:rPr>
            <w:rStyle w:val="Hyperlink"/>
            <w:rFonts w:asciiTheme="majorHAnsi" w:hAnsiTheme="majorHAnsi" w:cstheme="majorHAnsi"/>
            <w:i w:val="0"/>
            <w:iCs w:val="0"/>
            <w:noProof/>
            <w:sz w:val="22"/>
            <w:szCs w:val="22"/>
            <w:lang w:val="en-US"/>
          </w:rPr>
          <w:t>6 - ARTICLE 15 ICESCR: Right to Culture</w:t>
        </w:r>
        <w:r w:rsidR="00D20468" w:rsidRPr="00EC759A">
          <w:rPr>
            <w:rFonts w:asciiTheme="majorHAnsi" w:hAnsiTheme="majorHAnsi" w:cstheme="majorHAnsi"/>
            <w:i w:val="0"/>
            <w:iCs w:val="0"/>
            <w:noProof/>
            <w:webHidden/>
            <w:sz w:val="22"/>
            <w:szCs w:val="22"/>
          </w:rPr>
          <w:tab/>
        </w:r>
        <w:r w:rsidR="00D20468" w:rsidRPr="00EC759A">
          <w:rPr>
            <w:rFonts w:asciiTheme="majorHAnsi" w:hAnsiTheme="majorHAnsi" w:cstheme="majorHAnsi"/>
            <w:i w:val="0"/>
            <w:iCs w:val="0"/>
            <w:noProof/>
            <w:webHidden/>
            <w:sz w:val="22"/>
            <w:szCs w:val="22"/>
          </w:rPr>
          <w:fldChar w:fldCharType="begin"/>
        </w:r>
        <w:r w:rsidR="00D20468" w:rsidRPr="00EC759A">
          <w:rPr>
            <w:rFonts w:asciiTheme="majorHAnsi" w:hAnsiTheme="majorHAnsi" w:cstheme="majorHAnsi"/>
            <w:i w:val="0"/>
            <w:iCs w:val="0"/>
            <w:noProof/>
            <w:webHidden/>
            <w:sz w:val="22"/>
            <w:szCs w:val="22"/>
          </w:rPr>
          <w:instrText xml:space="preserve"> PAGEREF _Toc145507628 \h </w:instrText>
        </w:r>
        <w:r w:rsidR="00D20468" w:rsidRPr="00EC759A">
          <w:rPr>
            <w:rFonts w:asciiTheme="majorHAnsi" w:hAnsiTheme="majorHAnsi" w:cstheme="majorHAnsi"/>
            <w:i w:val="0"/>
            <w:iCs w:val="0"/>
            <w:noProof/>
            <w:webHidden/>
            <w:sz w:val="22"/>
            <w:szCs w:val="22"/>
          </w:rPr>
        </w:r>
        <w:r w:rsidR="00D20468" w:rsidRPr="00EC759A">
          <w:rPr>
            <w:rFonts w:asciiTheme="majorHAnsi" w:hAnsiTheme="majorHAnsi" w:cstheme="majorHAnsi"/>
            <w:i w:val="0"/>
            <w:iCs w:val="0"/>
            <w:noProof/>
            <w:webHidden/>
            <w:sz w:val="22"/>
            <w:szCs w:val="22"/>
          </w:rPr>
          <w:fldChar w:fldCharType="separate"/>
        </w:r>
        <w:r w:rsidR="00D20468" w:rsidRPr="00EC759A">
          <w:rPr>
            <w:rFonts w:asciiTheme="majorHAnsi" w:hAnsiTheme="majorHAnsi" w:cstheme="majorHAnsi"/>
            <w:i w:val="0"/>
            <w:iCs w:val="0"/>
            <w:noProof/>
            <w:webHidden/>
            <w:sz w:val="22"/>
            <w:szCs w:val="22"/>
          </w:rPr>
          <w:t>16</w:t>
        </w:r>
        <w:r w:rsidR="00D20468" w:rsidRPr="00EC759A">
          <w:rPr>
            <w:rFonts w:asciiTheme="majorHAnsi" w:hAnsiTheme="majorHAnsi" w:cstheme="majorHAnsi"/>
            <w:i w:val="0"/>
            <w:iCs w:val="0"/>
            <w:noProof/>
            <w:webHidden/>
            <w:sz w:val="22"/>
            <w:szCs w:val="22"/>
          </w:rPr>
          <w:fldChar w:fldCharType="end"/>
        </w:r>
      </w:hyperlink>
    </w:p>
    <w:p w14:paraId="69D61925" w14:textId="71361571" w:rsidR="008A11B3" w:rsidRPr="00EC759A" w:rsidRDefault="00D20468">
      <w:pPr>
        <w:rPr>
          <w:rFonts w:asciiTheme="majorHAnsi" w:eastAsia="Calibri" w:hAnsiTheme="majorHAnsi" w:cstheme="majorHAnsi"/>
          <w:b/>
          <w:sz w:val="24"/>
          <w:szCs w:val="24"/>
          <w:lang w:val="en-US"/>
        </w:rPr>
      </w:pPr>
      <w:r w:rsidRPr="00EC759A">
        <w:rPr>
          <w:rFonts w:asciiTheme="majorHAnsi" w:eastAsia="Calibri" w:hAnsiTheme="majorHAnsi" w:cstheme="majorHAnsi"/>
          <w:b/>
          <w:lang w:val="en-US"/>
        </w:rPr>
        <w:fldChar w:fldCharType="end"/>
      </w:r>
      <w:r w:rsidR="008A11B3" w:rsidRPr="00EC759A">
        <w:rPr>
          <w:rFonts w:asciiTheme="majorHAnsi" w:eastAsia="Calibri" w:hAnsiTheme="majorHAnsi" w:cstheme="majorHAnsi"/>
          <w:b/>
          <w:sz w:val="24"/>
          <w:szCs w:val="24"/>
          <w:lang w:val="en-US"/>
        </w:rPr>
        <w:br w:type="page"/>
      </w:r>
    </w:p>
    <w:p w14:paraId="0DB7FDDC" w14:textId="343DAFF6" w:rsidR="008A11B3" w:rsidRPr="00EC759A" w:rsidRDefault="00EC759A" w:rsidP="00D20468">
      <w:pPr>
        <w:pStyle w:val="Heading1"/>
        <w:rPr>
          <w:rFonts w:asciiTheme="majorHAnsi" w:hAnsiTheme="majorHAnsi" w:cstheme="majorHAnsi"/>
          <w:b w:val="0"/>
          <w:lang w:val="en-US"/>
        </w:rPr>
      </w:pPr>
      <w:bookmarkStart w:id="0" w:name="_Toc145507617"/>
      <w:r w:rsidRPr="00EC759A">
        <w:rPr>
          <w:rFonts w:asciiTheme="majorHAnsi" w:hAnsiTheme="majorHAnsi" w:cstheme="majorHAnsi"/>
          <w:lang w:val="en-US"/>
        </w:rPr>
        <w:lastRenderedPageBreak/>
        <w:t xml:space="preserve">1 </w:t>
      </w:r>
      <w:r w:rsidR="00920BFB" w:rsidRPr="00EC759A">
        <w:rPr>
          <w:rFonts w:asciiTheme="majorHAnsi" w:hAnsiTheme="majorHAnsi" w:cstheme="majorHAnsi"/>
          <w:lang w:val="en-US"/>
        </w:rPr>
        <w:t xml:space="preserve">- </w:t>
      </w:r>
      <w:r w:rsidRPr="00EC759A">
        <w:rPr>
          <w:rFonts w:asciiTheme="majorHAnsi" w:hAnsiTheme="majorHAnsi" w:cstheme="majorHAnsi"/>
          <w:lang w:val="en-US"/>
        </w:rPr>
        <w:t>Article 1</w:t>
      </w:r>
      <w:r w:rsidR="00D20468" w:rsidRPr="00EC759A">
        <w:rPr>
          <w:rFonts w:asciiTheme="majorHAnsi" w:hAnsiTheme="majorHAnsi" w:cstheme="majorHAnsi"/>
          <w:lang w:val="en-US"/>
        </w:rPr>
        <w:t xml:space="preserve"> ICESCR</w:t>
      </w:r>
      <w:r w:rsidR="00E06E31" w:rsidRPr="00EC759A">
        <w:rPr>
          <w:rFonts w:asciiTheme="majorHAnsi" w:hAnsiTheme="majorHAnsi" w:cstheme="majorHAnsi"/>
          <w:lang w:val="en-US"/>
        </w:rPr>
        <w:t>:</w:t>
      </w:r>
      <w:r w:rsidRPr="00EC759A">
        <w:rPr>
          <w:rFonts w:asciiTheme="majorHAnsi" w:hAnsiTheme="majorHAnsi" w:cstheme="majorHAnsi"/>
          <w:lang w:val="en-US"/>
        </w:rPr>
        <w:t xml:space="preserve"> Self-Determination of Peoples</w:t>
      </w:r>
      <w:bookmarkEnd w:id="0"/>
    </w:p>
    <w:p w14:paraId="37CF76AF" w14:textId="4812A104" w:rsidR="007E029F" w:rsidRPr="00EC759A" w:rsidRDefault="00EC759A" w:rsidP="008A11B3">
      <w:pPr>
        <w:pStyle w:val="Heading2"/>
        <w:rPr>
          <w:rFonts w:asciiTheme="majorHAnsi" w:hAnsiTheme="majorHAnsi" w:cstheme="majorHAnsi"/>
          <w:lang w:val="en-US"/>
        </w:rPr>
      </w:pPr>
      <w:bookmarkStart w:id="1" w:name="_Toc145507618"/>
      <w:r w:rsidRPr="00EC759A">
        <w:rPr>
          <w:rFonts w:asciiTheme="majorHAnsi" w:hAnsiTheme="majorHAnsi" w:cstheme="majorHAnsi"/>
          <w:lang w:val="en-US"/>
        </w:rPr>
        <w:t>1.1</w:t>
      </w:r>
      <w:r w:rsidR="00E06E31" w:rsidRPr="00EC759A">
        <w:rPr>
          <w:rFonts w:asciiTheme="majorHAnsi" w:hAnsiTheme="majorHAnsi" w:cstheme="majorHAnsi"/>
          <w:lang w:val="en-US"/>
        </w:rPr>
        <w:t xml:space="preserve"> </w:t>
      </w:r>
      <w:r w:rsidRPr="00EC759A">
        <w:rPr>
          <w:rFonts w:asciiTheme="majorHAnsi" w:hAnsiTheme="majorHAnsi" w:cstheme="majorHAnsi"/>
          <w:lang w:val="en-US"/>
        </w:rPr>
        <w:t>Demarcation of Indigenous Territories and Self-Determination of Indigenous Peoples</w:t>
      </w:r>
      <w:bookmarkEnd w:id="1"/>
    </w:p>
    <w:p w14:paraId="2D08EE0B" w14:textId="66928782"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1988 Constitution guarantees indigenous peoples their social organization, customs, languages, beliefs and traditions, in addition to the original rights over the lands they traditionally occupy. It is incumbent to the Federal Union to demarcate their territories. The promise of demarcation of all territories by 1993</w:t>
      </w:r>
      <w:r w:rsidRPr="00EC759A">
        <w:rPr>
          <w:rFonts w:asciiTheme="majorHAnsi" w:hAnsiTheme="majorHAnsi" w:cstheme="majorHAnsi"/>
          <w:sz w:val="24"/>
          <w:szCs w:val="24"/>
          <w:vertAlign w:val="superscript"/>
          <w:lang w:val="en-US"/>
        </w:rPr>
        <w:footnoteReference w:id="4"/>
      </w:r>
      <w:r w:rsidRPr="00EC759A">
        <w:rPr>
          <w:rFonts w:asciiTheme="majorHAnsi" w:hAnsiTheme="majorHAnsi" w:cstheme="majorHAnsi"/>
          <w:sz w:val="24"/>
          <w:szCs w:val="24"/>
          <w:lang w:val="en-US"/>
        </w:rPr>
        <w:t xml:space="preserve"> has never been fulfilled and the relevant constitutional provision is still far from being fulfilled</w:t>
      </w:r>
      <w:r w:rsidRPr="00EC759A">
        <w:rPr>
          <w:rFonts w:asciiTheme="majorHAnsi" w:hAnsiTheme="majorHAnsi" w:cstheme="majorHAnsi"/>
          <w:sz w:val="24"/>
          <w:szCs w:val="24"/>
          <w:vertAlign w:val="superscript"/>
          <w:lang w:val="en-US"/>
        </w:rPr>
        <w:footnoteReference w:id="5"/>
      </w:r>
      <w:r w:rsidRPr="00EC759A">
        <w:rPr>
          <w:rFonts w:asciiTheme="majorHAnsi" w:hAnsiTheme="majorHAnsi" w:cstheme="majorHAnsi"/>
          <w:sz w:val="24"/>
          <w:szCs w:val="24"/>
          <w:lang w:val="en-US"/>
        </w:rPr>
        <w:t>. Of 732 traditional territories, 490 have been demarcated, 125 are in the process of being identified, 43 identified, and 74 officially declared as indigenous lands</w:t>
      </w:r>
      <w:r w:rsidRPr="00EC759A">
        <w:rPr>
          <w:rFonts w:asciiTheme="majorHAnsi" w:hAnsiTheme="majorHAnsi" w:cstheme="majorHAnsi"/>
          <w:sz w:val="24"/>
          <w:szCs w:val="24"/>
          <w:vertAlign w:val="superscript"/>
          <w:lang w:val="en-US"/>
        </w:rPr>
        <w:footnoteReference w:id="6"/>
      </w:r>
      <w:r w:rsidRPr="00EC759A">
        <w:rPr>
          <w:rFonts w:asciiTheme="majorHAnsi" w:hAnsiTheme="majorHAnsi" w:cstheme="majorHAnsi"/>
          <w:sz w:val="24"/>
          <w:szCs w:val="24"/>
          <w:lang w:val="en-US"/>
        </w:rPr>
        <w:t>.</w:t>
      </w:r>
    </w:p>
    <w:p w14:paraId="4AA0E700"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As Brazil has become a commodity-exporting economic powerhouse over the past 20 years, demarcation processes have become more complex and slower, the result of pressure from the agricultural and financial sectors. In the same sense, the agribusiness caucus becomes one of the most influential interest groups in the National Congress</w:t>
      </w:r>
      <w:r w:rsidRPr="00EC759A">
        <w:rPr>
          <w:rFonts w:asciiTheme="majorHAnsi" w:hAnsiTheme="majorHAnsi" w:cstheme="majorHAnsi"/>
          <w:sz w:val="24"/>
          <w:szCs w:val="24"/>
          <w:vertAlign w:val="superscript"/>
          <w:lang w:val="en-US"/>
        </w:rPr>
        <w:footnoteReference w:id="7"/>
      </w:r>
      <w:r w:rsidRPr="00EC759A">
        <w:rPr>
          <w:rFonts w:asciiTheme="majorHAnsi" w:hAnsiTheme="majorHAnsi" w:cstheme="majorHAnsi"/>
          <w:sz w:val="24"/>
          <w:szCs w:val="24"/>
          <w:lang w:val="en-US"/>
        </w:rPr>
        <w:t>, putting forward bills that try to limit the scope of Article 231 of the Constitution, especially with regard to the self-determination of territories by indigenous peoples.</w:t>
      </w:r>
    </w:p>
    <w:p w14:paraId="19CABE06"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 xml:space="preserve"> </w:t>
      </w:r>
    </w:p>
    <w:p w14:paraId="11E8A98D" w14:textId="65264FBB" w:rsidR="007E029F" w:rsidRPr="00EC759A" w:rsidRDefault="00EC759A" w:rsidP="00D20468">
      <w:pPr>
        <w:pStyle w:val="Heading2"/>
        <w:rPr>
          <w:rFonts w:asciiTheme="majorHAnsi" w:hAnsiTheme="majorHAnsi" w:cstheme="majorHAnsi"/>
          <w:lang w:val="en-US"/>
        </w:rPr>
      </w:pPr>
      <w:bookmarkStart w:id="2" w:name="_Toc145507619"/>
      <w:r w:rsidRPr="00EC759A">
        <w:rPr>
          <w:rFonts w:asciiTheme="majorHAnsi" w:hAnsiTheme="majorHAnsi" w:cstheme="majorHAnsi"/>
          <w:lang w:val="en-US"/>
        </w:rPr>
        <w:t>1.2 The Question of the Time Framework (“Marco Temporal</w:t>
      </w:r>
      <w:r w:rsidR="00D20468" w:rsidRPr="00EC759A">
        <w:rPr>
          <w:rFonts w:asciiTheme="majorHAnsi" w:hAnsiTheme="majorHAnsi" w:cstheme="majorHAnsi"/>
          <w:lang w:val="en-US"/>
        </w:rPr>
        <w:t>”</w:t>
      </w:r>
      <w:r w:rsidRPr="00EC759A">
        <w:rPr>
          <w:rFonts w:asciiTheme="majorHAnsi" w:hAnsiTheme="majorHAnsi" w:cstheme="majorHAnsi"/>
          <w:lang w:val="en-US"/>
        </w:rPr>
        <w:t>)</w:t>
      </w:r>
      <w:bookmarkEnd w:id="2"/>
    </w:p>
    <w:p w14:paraId="25BD30A2" w14:textId="76B6C081"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A major part of agribusiness and lobby groups against indigenous peoples are trying to advance a mistaken legal understanding called a "time framework," according to which traditional indigenous territories could only be recognized by the Brazilian state if an indigenous community was actually occupying the territory demanded on October 5, 1988, the date of the promulgation of the Constitution of Brazil</w:t>
      </w:r>
      <w:r w:rsidR="00D20468" w:rsidRPr="00EC759A">
        <w:rPr>
          <w:rFonts w:asciiTheme="majorHAnsi" w:hAnsiTheme="majorHAnsi" w:cstheme="majorHAnsi"/>
          <w:sz w:val="24"/>
          <w:szCs w:val="24"/>
          <w:lang w:val="en-US"/>
        </w:rPr>
        <w:t>. It</w:t>
      </w:r>
      <w:r w:rsidRPr="00EC759A">
        <w:rPr>
          <w:rFonts w:asciiTheme="majorHAnsi" w:hAnsiTheme="majorHAnsi" w:cstheme="majorHAnsi"/>
          <w:sz w:val="24"/>
          <w:szCs w:val="24"/>
          <w:lang w:val="en-US"/>
        </w:rPr>
        <w:t xml:space="preserve"> violates the constitutional text itself, which literally speaks about </w:t>
      </w:r>
      <w:r w:rsidRPr="00EC759A">
        <w:rPr>
          <w:rFonts w:asciiTheme="majorHAnsi" w:hAnsiTheme="majorHAnsi" w:cstheme="majorHAnsi"/>
          <w:i/>
          <w:sz w:val="24"/>
          <w:szCs w:val="24"/>
          <w:lang w:val="en-US"/>
        </w:rPr>
        <w:t>traditional</w:t>
      </w:r>
      <w:r w:rsidRPr="00EC759A">
        <w:rPr>
          <w:rFonts w:asciiTheme="majorHAnsi" w:hAnsiTheme="majorHAnsi" w:cstheme="majorHAnsi"/>
          <w:sz w:val="24"/>
          <w:szCs w:val="24"/>
          <w:lang w:val="en-US"/>
        </w:rPr>
        <w:t xml:space="preserve"> lands</w:t>
      </w:r>
      <w:r w:rsidRPr="00EC759A">
        <w:rPr>
          <w:rFonts w:asciiTheme="majorHAnsi" w:hAnsiTheme="majorHAnsi" w:cstheme="majorHAnsi"/>
          <w:sz w:val="24"/>
          <w:szCs w:val="24"/>
          <w:vertAlign w:val="superscript"/>
          <w:lang w:val="en-US"/>
        </w:rPr>
        <w:footnoteReference w:id="8"/>
      </w:r>
      <w:r w:rsidRPr="00EC759A">
        <w:rPr>
          <w:rFonts w:asciiTheme="majorHAnsi" w:hAnsiTheme="majorHAnsi" w:cstheme="majorHAnsi"/>
          <w:sz w:val="24"/>
          <w:szCs w:val="24"/>
          <w:lang w:val="en-US"/>
        </w:rPr>
        <w:t>.</w:t>
      </w:r>
      <w:r w:rsidR="00D20468" w:rsidRPr="00EC759A">
        <w:rPr>
          <w:rFonts w:asciiTheme="majorHAnsi" w:hAnsiTheme="majorHAnsi" w:cstheme="majorHAnsi"/>
          <w:sz w:val="24"/>
          <w:szCs w:val="24"/>
          <w:lang w:val="en-US"/>
        </w:rPr>
        <w:t xml:space="preserve"> It also violates ICESCR’s Article 1.</w:t>
      </w:r>
      <w:r w:rsidRPr="00EC759A">
        <w:rPr>
          <w:rFonts w:asciiTheme="majorHAnsi" w:hAnsiTheme="majorHAnsi" w:cstheme="majorHAnsi"/>
          <w:sz w:val="24"/>
          <w:szCs w:val="24"/>
          <w:lang w:val="en-US"/>
        </w:rPr>
        <w:t xml:space="preserve"> Brazilian law adopts the principle of the traditionality of indigenous lands ("indigenato"), in line with international law, since Law </w:t>
      </w:r>
      <w:r w:rsidR="00176443" w:rsidRPr="00EC759A">
        <w:rPr>
          <w:rFonts w:asciiTheme="majorHAnsi" w:hAnsiTheme="majorHAnsi" w:cstheme="majorHAnsi"/>
          <w:sz w:val="24"/>
          <w:szCs w:val="24"/>
          <w:lang w:val="en-US"/>
        </w:rPr>
        <w:t>No.</w:t>
      </w:r>
      <w:r w:rsidRPr="00EC759A">
        <w:rPr>
          <w:rFonts w:asciiTheme="majorHAnsi" w:hAnsiTheme="majorHAnsi" w:cstheme="majorHAnsi"/>
          <w:sz w:val="24"/>
          <w:szCs w:val="24"/>
          <w:lang w:val="en-US"/>
        </w:rPr>
        <w:t xml:space="preserve"> 601, </w:t>
      </w:r>
      <w:r w:rsidRPr="00EC759A">
        <w:rPr>
          <w:rFonts w:asciiTheme="majorHAnsi" w:hAnsiTheme="majorHAnsi" w:cstheme="majorHAnsi"/>
          <w:sz w:val="24"/>
          <w:szCs w:val="24"/>
          <w:lang w:val="en-US"/>
        </w:rPr>
        <w:lastRenderedPageBreak/>
        <w:t xml:space="preserve">and the Constitutions of 1934, 1937, 1946, 1969, and 1988, conferring </w:t>
      </w:r>
      <w:r w:rsidRPr="00EC759A">
        <w:rPr>
          <w:rFonts w:asciiTheme="majorHAnsi" w:hAnsiTheme="majorHAnsi" w:cstheme="majorHAnsi"/>
          <w:i/>
          <w:sz w:val="24"/>
          <w:szCs w:val="24"/>
          <w:lang w:val="en-US"/>
        </w:rPr>
        <w:t xml:space="preserve">ex tunc </w:t>
      </w:r>
      <w:r w:rsidRPr="00EC759A">
        <w:rPr>
          <w:rFonts w:asciiTheme="majorHAnsi" w:hAnsiTheme="majorHAnsi" w:cstheme="majorHAnsi"/>
          <w:sz w:val="24"/>
          <w:szCs w:val="24"/>
          <w:lang w:val="en-US"/>
        </w:rPr>
        <w:t>effect</w:t>
      </w:r>
      <w:r w:rsidRPr="00EC759A">
        <w:rPr>
          <w:rFonts w:asciiTheme="majorHAnsi" w:hAnsiTheme="majorHAnsi" w:cstheme="majorHAnsi"/>
          <w:i/>
          <w:sz w:val="24"/>
          <w:szCs w:val="24"/>
          <w:lang w:val="en-US"/>
        </w:rPr>
        <w:t xml:space="preserve"> </w:t>
      </w:r>
      <w:r w:rsidRPr="00EC759A">
        <w:rPr>
          <w:rFonts w:asciiTheme="majorHAnsi" w:hAnsiTheme="majorHAnsi" w:cstheme="majorHAnsi"/>
          <w:sz w:val="24"/>
          <w:szCs w:val="24"/>
          <w:lang w:val="en-US"/>
        </w:rPr>
        <w:t>to traditional indigenous possession.</w:t>
      </w:r>
    </w:p>
    <w:p w14:paraId="65FF8958"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Supreme Court currently rules on a case of general repercussion brought by the Xokleng community (State of Santa Catarina), through the Extraordinary Appeal No. 1,017,365, to analyze the validity of the mistaken thesis of the time framework, in the light of the Constitution, which also concerns the international obligations assumed by Brazil. The trial of the case, which had several stoppages due to requests for views from the judges, was once again interrupted on June 7, which caused a greater fear of more violence in the indigenous territories.</w:t>
      </w:r>
    </w:p>
    <w:p w14:paraId="1744F4A6"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 xml:space="preserve">This doctrine was </w:t>
      </w:r>
      <w:r w:rsidR="00920BFB" w:rsidRPr="00EC759A">
        <w:rPr>
          <w:rFonts w:asciiTheme="majorHAnsi" w:hAnsiTheme="majorHAnsi" w:cstheme="majorHAnsi"/>
          <w:sz w:val="24"/>
          <w:szCs w:val="24"/>
          <w:lang w:val="en-US"/>
        </w:rPr>
        <w:t>addressed in</w:t>
      </w:r>
      <w:r w:rsidRPr="00EC759A">
        <w:rPr>
          <w:rFonts w:asciiTheme="majorHAnsi" w:hAnsiTheme="majorHAnsi" w:cstheme="majorHAnsi"/>
          <w:sz w:val="24"/>
          <w:szCs w:val="24"/>
          <w:lang w:val="en-US"/>
        </w:rPr>
        <w:t xml:space="preserve"> </w:t>
      </w:r>
      <w:r w:rsidRPr="00EC759A">
        <w:rPr>
          <w:rFonts w:asciiTheme="majorHAnsi" w:hAnsiTheme="majorHAnsi" w:cstheme="majorHAnsi"/>
          <w:i/>
          <w:sz w:val="24"/>
          <w:szCs w:val="24"/>
          <w:lang w:val="en-US"/>
        </w:rPr>
        <w:t xml:space="preserve">obiter dictum </w:t>
      </w:r>
      <w:r w:rsidRPr="00EC759A">
        <w:rPr>
          <w:rFonts w:asciiTheme="majorHAnsi" w:hAnsiTheme="majorHAnsi" w:cstheme="majorHAnsi"/>
          <w:sz w:val="24"/>
          <w:szCs w:val="24"/>
          <w:lang w:val="en-US"/>
        </w:rPr>
        <w:t>by</w:t>
      </w:r>
      <w:r w:rsidRPr="00EC759A">
        <w:rPr>
          <w:rFonts w:asciiTheme="majorHAnsi" w:hAnsiTheme="majorHAnsi" w:cstheme="majorHAnsi"/>
          <w:i/>
          <w:sz w:val="24"/>
          <w:szCs w:val="24"/>
          <w:lang w:val="en-US"/>
        </w:rPr>
        <w:t xml:space="preserve"> </w:t>
      </w:r>
      <w:r w:rsidRPr="00EC759A">
        <w:rPr>
          <w:rFonts w:asciiTheme="majorHAnsi" w:hAnsiTheme="majorHAnsi" w:cstheme="majorHAnsi"/>
          <w:sz w:val="24"/>
          <w:szCs w:val="24"/>
          <w:lang w:val="en-US"/>
        </w:rPr>
        <w:t>the Supreme Court in the Raposa Serra do Sol case (2009), and not endorsed as a consolidated thesis. It has been used by lower courts, as well as by the federal administration itself, to interrupt ongoing demarcation processes. Even in the new Lula government, Opinion 001 of the previous administration was not revoked or replaced by the Attorney General of the Union, but had its effects lifted by an order of the Supreme Court.</w:t>
      </w:r>
    </w:p>
    <w:p w14:paraId="4B6A4B90"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In view of the inherent imbalance of power between indigenous communities and the extractive industry and major part of agribusiness, indigenous peoples have faced enormous obstacles to maintaining possession of their traditional lands and exercising their rights protected by the ICESCR.</w:t>
      </w:r>
    </w:p>
    <w:p w14:paraId="47E1A330"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thesis of the time framework, if accepted by the Supreme Court, will be binding on the lower courts, legislative and national executive, in addition to having a strong negative influence in Latin American countries, where it is also trying to restrict the original rights of indigenous peoples.</w:t>
      </w:r>
    </w:p>
    <w:p w14:paraId="363E340B"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In practical terms, if the thesis of the temporal framework is consolidated, the process of demarcations in Brazil will become ineffective. It will also consolidate the plundering of several indigenous peoples who have been stripped of their territories, but will continue their historical struggle.</w:t>
      </w:r>
    </w:p>
    <w:p w14:paraId="0B5F480A"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thesis of the time frame, if accepted by the STF, will bring additional challenges to the peoples of voluntary isolation or recent contact, since it will be able to regularize the lands grabbed or illegally occupied by groups without commitment to life and the defense of the environment.</w:t>
      </w:r>
    </w:p>
    <w:p w14:paraId="615B6A64" w14:textId="77777777" w:rsidR="007E029F" w:rsidRPr="00EC759A" w:rsidRDefault="00EC759A" w:rsidP="00937430">
      <w:pPr>
        <w:spacing w:after="120"/>
        <w:ind w:firstLine="4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 xml:space="preserve">  </w:t>
      </w:r>
    </w:p>
    <w:p w14:paraId="0B0D7877" w14:textId="77777777" w:rsidR="007E029F" w:rsidRPr="00EC759A" w:rsidRDefault="00EC759A" w:rsidP="00D20468">
      <w:pPr>
        <w:pStyle w:val="Heading2"/>
        <w:rPr>
          <w:rFonts w:asciiTheme="majorHAnsi" w:hAnsiTheme="majorHAnsi" w:cstheme="majorHAnsi"/>
          <w:lang w:val="en-US"/>
        </w:rPr>
      </w:pPr>
      <w:bookmarkStart w:id="3" w:name="_Toc145507620"/>
      <w:r w:rsidRPr="00EC759A">
        <w:rPr>
          <w:rFonts w:asciiTheme="majorHAnsi" w:hAnsiTheme="majorHAnsi" w:cstheme="majorHAnsi"/>
          <w:lang w:val="en-US"/>
        </w:rPr>
        <w:t>1.3</w:t>
      </w:r>
      <w:r w:rsidR="00E06E31" w:rsidRPr="00EC759A">
        <w:rPr>
          <w:rFonts w:asciiTheme="majorHAnsi" w:hAnsiTheme="majorHAnsi" w:cstheme="majorHAnsi"/>
          <w:lang w:val="en-US"/>
        </w:rPr>
        <w:t>.</w:t>
      </w:r>
      <w:r w:rsidRPr="00EC759A">
        <w:rPr>
          <w:rFonts w:asciiTheme="majorHAnsi" w:hAnsiTheme="majorHAnsi" w:cstheme="majorHAnsi"/>
          <w:lang w:val="en-US"/>
        </w:rPr>
        <w:t xml:space="preserve"> Institutional Violence in the Context of Traditional Land Reclaims ("Retomadas")</w:t>
      </w:r>
      <w:bookmarkEnd w:id="3"/>
    </w:p>
    <w:p w14:paraId="1ED3238E"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 xml:space="preserve">Several indigenous communities, seeing no other solution to the serious humanitarian crisis affecting them, are once again occupying the territories from which they were expelled, by court order or by illegal use of force by private or even public agents. This land reclaim represents a new form of pressure on the authorities, aimed at accelerating the process of demarcation of the respective lands. During the land reclaims, communities once again have access to land and </w:t>
      </w:r>
      <w:r w:rsidRPr="00EC759A">
        <w:rPr>
          <w:rFonts w:asciiTheme="majorHAnsi" w:hAnsiTheme="majorHAnsi" w:cstheme="majorHAnsi"/>
          <w:sz w:val="24"/>
          <w:szCs w:val="24"/>
          <w:lang w:val="en-US"/>
        </w:rPr>
        <w:lastRenderedPageBreak/>
        <w:t>contact with spiritual practices, houses of prayer, rivers, mountains and natural resources that are sacred to them.</w:t>
      </w:r>
    </w:p>
    <w:p w14:paraId="2507CC83"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At the same time, the reclaims are marked by violence and threats perpetrated by public security forces, which do not have the competence to deal with indigenous issues, or by private security guards and militias which, in addition to not having competence, are in the pay of groups interested in expulsion and improper repossession. Emblematic are the examples of the Pataxó people (State of Bahia) who suffer action from armed gunmen in their reclaims</w:t>
      </w:r>
      <w:r w:rsidRPr="00EC759A">
        <w:rPr>
          <w:rFonts w:asciiTheme="majorHAnsi" w:hAnsiTheme="majorHAnsi" w:cstheme="majorHAnsi"/>
          <w:sz w:val="24"/>
          <w:szCs w:val="24"/>
          <w:vertAlign w:val="superscript"/>
          <w:lang w:val="en-US"/>
        </w:rPr>
        <w:footnoteReference w:id="9"/>
      </w:r>
      <w:r w:rsidRPr="00EC759A">
        <w:rPr>
          <w:rFonts w:asciiTheme="majorHAnsi" w:hAnsiTheme="majorHAnsi" w:cstheme="majorHAnsi"/>
          <w:sz w:val="24"/>
          <w:szCs w:val="24"/>
          <w:lang w:val="en-US"/>
        </w:rPr>
        <w:t>, and the Xokleng Konglui people, when claiming their territory in a privatized forest (State of Rio Grande do Sul), being the target of several court orders for repossession</w:t>
      </w:r>
      <w:r w:rsidRPr="00EC759A">
        <w:rPr>
          <w:rFonts w:asciiTheme="majorHAnsi" w:hAnsiTheme="majorHAnsi" w:cstheme="majorHAnsi"/>
          <w:sz w:val="24"/>
          <w:szCs w:val="24"/>
          <w:vertAlign w:val="superscript"/>
          <w:lang w:val="en-US"/>
        </w:rPr>
        <w:footnoteReference w:id="10"/>
      </w:r>
      <w:r w:rsidRPr="00EC759A">
        <w:rPr>
          <w:rFonts w:asciiTheme="majorHAnsi" w:hAnsiTheme="majorHAnsi" w:cstheme="majorHAnsi"/>
          <w:sz w:val="24"/>
          <w:szCs w:val="24"/>
          <w:lang w:val="en-US"/>
        </w:rPr>
        <w:t>.</w:t>
      </w:r>
    </w:p>
    <w:p w14:paraId="373D93D5"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 xml:space="preserve">So far, the response of the Brazilian state has been one of serious drawbacks. In the case of the Pataxó people, there was an </w:t>
      </w:r>
      <w:r w:rsidRPr="00EC759A">
        <w:rPr>
          <w:rFonts w:asciiTheme="majorHAnsi" w:hAnsiTheme="majorHAnsi" w:cstheme="majorHAnsi"/>
          <w:i/>
          <w:sz w:val="24"/>
          <w:szCs w:val="24"/>
          <w:lang w:val="en-US"/>
        </w:rPr>
        <w:t>on-site</w:t>
      </w:r>
      <w:r w:rsidRPr="00EC759A">
        <w:rPr>
          <w:rFonts w:asciiTheme="majorHAnsi" w:hAnsiTheme="majorHAnsi" w:cstheme="majorHAnsi"/>
          <w:sz w:val="24"/>
          <w:szCs w:val="24"/>
          <w:lang w:val="en-US"/>
        </w:rPr>
        <w:t xml:space="preserve"> visit by the National Human Rights Council, in November 2022, but the solution to the crisis remains pending</w:t>
      </w:r>
      <w:r w:rsidRPr="00EC759A">
        <w:rPr>
          <w:rFonts w:asciiTheme="majorHAnsi" w:hAnsiTheme="majorHAnsi" w:cstheme="majorHAnsi"/>
          <w:sz w:val="24"/>
          <w:szCs w:val="24"/>
          <w:vertAlign w:val="superscript"/>
          <w:lang w:val="en-US"/>
        </w:rPr>
        <w:footnoteReference w:id="11"/>
      </w:r>
      <w:r w:rsidRPr="00EC759A">
        <w:rPr>
          <w:rFonts w:asciiTheme="majorHAnsi" w:hAnsiTheme="majorHAnsi" w:cstheme="majorHAnsi"/>
          <w:sz w:val="24"/>
          <w:szCs w:val="24"/>
          <w:lang w:val="en-US"/>
        </w:rPr>
        <w:t>.</w:t>
      </w:r>
    </w:p>
    <w:p w14:paraId="505D2ED7"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 xml:space="preserve">Although in theory there may be technical and legal issues to be resolved in each event of reclaim, the Brazilian State has been inefficient for these conflicts to be resolved peacefully, often generating violence with deaths of members of indigenous communities.   </w:t>
      </w:r>
      <w:r w:rsidRPr="00EC759A">
        <w:rPr>
          <w:rFonts w:asciiTheme="majorHAnsi" w:hAnsiTheme="majorHAnsi" w:cstheme="majorHAnsi"/>
          <w:sz w:val="24"/>
          <w:szCs w:val="24"/>
          <w:lang w:val="en-US"/>
        </w:rPr>
        <w:tab/>
        <w:t xml:space="preserve">                            </w:t>
      </w:r>
      <w:r w:rsidRPr="00EC759A">
        <w:rPr>
          <w:rFonts w:asciiTheme="majorHAnsi" w:hAnsiTheme="majorHAnsi" w:cstheme="majorHAnsi"/>
          <w:sz w:val="24"/>
          <w:szCs w:val="24"/>
          <w:lang w:val="en-US"/>
        </w:rPr>
        <w:tab/>
      </w:r>
    </w:p>
    <w:p w14:paraId="21DACD7E" w14:textId="77777777" w:rsidR="007E029F" w:rsidRPr="00EC759A" w:rsidRDefault="00EC759A" w:rsidP="00D20468">
      <w:pPr>
        <w:pStyle w:val="Heading1"/>
        <w:rPr>
          <w:rFonts w:asciiTheme="majorHAnsi" w:hAnsiTheme="majorHAnsi" w:cstheme="majorHAnsi"/>
          <w:lang w:val="en-US"/>
        </w:rPr>
      </w:pPr>
      <w:bookmarkStart w:id="4" w:name="_Toc145507621"/>
      <w:r w:rsidRPr="00EC759A">
        <w:rPr>
          <w:rFonts w:asciiTheme="majorHAnsi" w:hAnsiTheme="majorHAnsi" w:cstheme="majorHAnsi"/>
          <w:lang w:val="en-US"/>
        </w:rPr>
        <w:t xml:space="preserve">2 </w:t>
      </w:r>
      <w:r w:rsidR="00920BFB" w:rsidRPr="00EC759A">
        <w:rPr>
          <w:rFonts w:asciiTheme="majorHAnsi" w:hAnsiTheme="majorHAnsi" w:cstheme="majorHAnsi"/>
          <w:lang w:val="en-US"/>
        </w:rPr>
        <w:t xml:space="preserve">- </w:t>
      </w:r>
      <w:r w:rsidRPr="00EC759A">
        <w:rPr>
          <w:rFonts w:asciiTheme="majorHAnsi" w:hAnsiTheme="majorHAnsi" w:cstheme="majorHAnsi"/>
          <w:lang w:val="en-US"/>
        </w:rPr>
        <w:t>Article 2</w:t>
      </w:r>
      <w:r w:rsidR="00920BFB" w:rsidRPr="00EC759A">
        <w:rPr>
          <w:rFonts w:asciiTheme="majorHAnsi" w:hAnsiTheme="majorHAnsi" w:cstheme="majorHAnsi"/>
          <w:lang w:val="en-US"/>
        </w:rPr>
        <w:t>:</w:t>
      </w:r>
      <w:r w:rsidRPr="00EC759A">
        <w:rPr>
          <w:rFonts w:asciiTheme="majorHAnsi" w:hAnsiTheme="majorHAnsi" w:cstheme="majorHAnsi"/>
          <w:lang w:val="en-US"/>
        </w:rPr>
        <w:t xml:space="preserve"> Implementation of the ICESCR</w:t>
      </w:r>
      <w:bookmarkEnd w:id="4"/>
    </w:p>
    <w:p w14:paraId="620A1704" w14:textId="77777777" w:rsidR="007E029F" w:rsidRPr="00EC759A" w:rsidRDefault="00EC759A" w:rsidP="00D20468">
      <w:pPr>
        <w:pStyle w:val="Heading2"/>
        <w:rPr>
          <w:rFonts w:asciiTheme="majorHAnsi" w:hAnsiTheme="majorHAnsi" w:cstheme="majorHAnsi"/>
          <w:lang w:val="en-US"/>
        </w:rPr>
      </w:pPr>
      <w:bookmarkStart w:id="5" w:name="_Toc145507622"/>
      <w:r w:rsidRPr="00EC759A">
        <w:rPr>
          <w:rFonts w:asciiTheme="majorHAnsi" w:hAnsiTheme="majorHAnsi" w:cstheme="majorHAnsi"/>
          <w:lang w:val="en-US"/>
        </w:rPr>
        <w:t>2.1 Systemic Inequalities in Brazil</w:t>
      </w:r>
      <w:bookmarkEnd w:id="5"/>
    </w:p>
    <w:p w14:paraId="3821CFCB" w14:textId="5D950120" w:rsidR="007E029F" w:rsidRPr="00EC759A" w:rsidRDefault="00EC759A" w:rsidP="00937430">
      <w:pPr>
        <w:spacing w:after="120"/>
        <w:jc w:val="both"/>
        <w:rPr>
          <w:rFonts w:asciiTheme="majorHAnsi" w:hAnsiTheme="majorHAnsi" w:cstheme="majorHAnsi"/>
          <w:color w:val="666666"/>
          <w:sz w:val="24"/>
          <w:szCs w:val="24"/>
          <w:highlight w:val="yellow"/>
          <w:lang w:val="en-US"/>
        </w:rPr>
      </w:pPr>
      <w:r w:rsidRPr="00EC759A">
        <w:rPr>
          <w:rFonts w:asciiTheme="majorHAnsi" w:hAnsiTheme="majorHAnsi" w:cstheme="majorHAnsi"/>
          <w:sz w:val="24"/>
          <w:szCs w:val="24"/>
          <w:lang w:val="en-US"/>
        </w:rPr>
        <w:t xml:space="preserve">The great challenge for the full realization of economic, social and cultural rights in Brazil is the systematic and historical inequality that disproportionately affects women, children, Afro-descendants, quilombolas, indigenous peoples, gypsies, LGBTQI+ people, the poor and peripheral, the elderly, the disabled, migrants and other vulnerable sectors of the population. Even though Brazil's GINI index has regressed from 0.591 in 2004 to 0.489 in 2022, access to basic rights for the majority of the population is still a challenge. </w:t>
      </w:r>
    </w:p>
    <w:p w14:paraId="042D6256"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Brazilian State has adopted protective legislation in favor of these groups, such as</w:t>
      </w:r>
      <w:hyperlink r:id="rId9">
        <w:r w:rsidRPr="00EC759A">
          <w:rPr>
            <w:rFonts w:asciiTheme="majorHAnsi" w:hAnsiTheme="majorHAnsi" w:cstheme="majorHAnsi"/>
            <w:sz w:val="24"/>
            <w:szCs w:val="24"/>
            <w:lang w:val="en-US"/>
          </w:rPr>
          <w:t xml:space="preserve"> </w:t>
        </w:r>
      </w:hyperlink>
      <w:hyperlink r:id="rId10">
        <w:r w:rsidRPr="00EC759A">
          <w:rPr>
            <w:rFonts w:asciiTheme="majorHAnsi" w:hAnsiTheme="majorHAnsi" w:cstheme="majorHAnsi"/>
            <w:color w:val="1155CC"/>
            <w:sz w:val="24"/>
            <w:szCs w:val="24"/>
            <w:u w:val="single"/>
            <w:lang w:val="en-US"/>
          </w:rPr>
          <w:t xml:space="preserve"> the Child and Adolescent Statute (</w:t>
        </w:r>
      </w:hyperlink>
      <w:r w:rsidRPr="00EC759A">
        <w:rPr>
          <w:rFonts w:asciiTheme="majorHAnsi" w:hAnsiTheme="majorHAnsi" w:cstheme="majorHAnsi"/>
          <w:sz w:val="24"/>
          <w:szCs w:val="24"/>
          <w:lang w:val="en-US"/>
        </w:rPr>
        <w:t>1988</w:t>
      </w:r>
      <w:hyperlink r:id="rId11">
        <w:r w:rsidRPr="00EC759A">
          <w:rPr>
            <w:rFonts w:asciiTheme="majorHAnsi" w:hAnsiTheme="majorHAnsi" w:cstheme="majorHAnsi"/>
            <w:color w:val="1155CC"/>
            <w:sz w:val="24"/>
            <w:szCs w:val="24"/>
            <w:u w:val="single"/>
            <w:lang w:val="en-US"/>
          </w:rPr>
          <w:t>), the Racial Equality Statute (2010)</w:t>
        </w:r>
      </w:hyperlink>
      <w:r w:rsidRPr="00EC759A">
        <w:rPr>
          <w:rFonts w:asciiTheme="majorHAnsi" w:hAnsiTheme="majorHAnsi" w:cstheme="majorHAnsi"/>
          <w:color w:val="1155CC"/>
          <w:sz w:val="24"/>
          <w:szCs w:val="24"/>
          <w:u w:val="single"/>
          <w:lang w:val="en-US"/>
        </w:rPr>
        <w:t xml:space="preserve">, </w:t>
      </w:r>
      <w:r w:rsidRPr="00EC759A">
        <w:rPr>
          <w:rFonts w:asciiTheme="majorHAnsi" w:hAnsiTheme="majorHAnsi" w:cstheme="majorHAnsi"/>
          <w:sz w:val="24"/>
          <w:szCs w:val="24"/>
          <w:lang w:val="en-US"/>
        </w:rPr>
        <w:t>the Elderly Statute (2003) and the</w:t>
      </w:r>
      <w:hyperlink r:id="rId12">
        <w:r w:rsidRPr="00EC759A">
          <w:rPr>
            <w:rFonts w:asciiTheme="majorHAnsi" w:hAnsiTheme="majorHAnsi" w:cstheme="majorHAnsi"/>
            <w:sz w:val="24"/>
            <w:szCs w:val="24"/>
            <w:lang w:val="en-US"/>
          </w:rPr>
          <w:t xml:space="preserve"> </w:t>
        </w:r>
      </w:hyperlink>
      <w:hyperlink r:id="rId13">
        <w:r w:rsidRPr="00EC759A">
          <w:rPr>
            <w:rFonts w:asciiTheme="majorHAnsi" w:hAnsiTheme="majorHAnsi" w:cstheme="majorHAnsi"/>
            <w:color w:val="1155CC"/>
            <w:sz w:val="24"/>
            <w:szCs w:val="24"/>
            <w:u w:val="single"/>
            <w:lang w:val="en-US"/>
          </w:rPr>
          <w:t>Statute of the Person with Disabilities</w:t>
        </w:r>
      </w:hyperlink>
      <w:r w:rsidRPr="00EC759A">
        <w:rPr>
          <w:rFonts w:asciiTheme="majorHAnsi" w:hAnsiTheme="majorHAnsi" w:cstheme="majorHAnsi"/>
          <w:sz w:val="24"/>
          <w:szCs w:val="24"/>
          <w:lang w:val="en-US"/>
        </w:rPr>
        <w:t xml:space="preserve"> (2015). Such laws had the positive effect of establishing a legal framework for addressing these inequalities. At the same time, the monitoring of the </w:t>
      </w:r>
      <w:r w:rsidRPr="00EC759A">
        <w:rPr>
          <w:rFonts w:asciiTheme="majorHAnsi" w:hAnsiTheme="majorHAnsi" w:cstheme="majorHAnsi"/>
          <w:sz w:val="24"/>
          <w:szCs w:val="24"/>
          <w:lang w:val="en-US"/>
        </w:rPr>
        <w:lastRenderedPageBreak/>
        <w:t xml:space="preserve">objectives to be achieved by these laws remains a constant problem for the authorities and for the necessary participation of civil society entities. </w:t>
      </w:r>
    </w:p>
    <w:p w14:paraId="5C222A93"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It is important to state what has been positive: the Brazilian population census is disaggregated by race, ethnicity and gender, according to the principle of self-declaration, which facilitates the allocation of resources and government efforts for policies that take vulnerable sectors out of invisibility. Another factor in the eradication of inequalities is the conditional programs of income distribution, which have significantly improved the living conditions of the most impoverished sectors of society.</w:t>
      </w:r>
    </w:p>
    <w:p w14:paraId="25C81F1F"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Brazilian state has adopted a series of temporary special measures that signal a positive step towards the equalization of rights, such as constitutional amendment 117, which obliges political parties to allocate at least 30% of public funds for electoral campaigns to female candidates</w:t>
      </w:r>
      <w:r w:rsidR="00F916F2" w:rsidRPr="00EC759A">
        <w:rPr>
          <w:rFonts w:asciiTheme="majorHAnsi" w:hAnsiTheme="majorHAnsi" w:cstheme="majorHAnsi"/>
          <w:sz w:val="24"/>
          <w:szCs w:val="24"/>
          <w:lang w:val="en-US"/>
        </w:rPr>
        <w:t>.</w:t>
      </w:r>
    </w:p>
    <w:p w14:paraId="095EBA50" w14:textId="32E270D9" w:rsidR="007E029F" w:rsidRPr="00EC759A" w:rsidRDefault="00EC759A" w:rsidP="00937430">
      <w:pPr>
        <w:spacing w:after="120"/>
        <w:jc w:val="both"/>
        <w:rPr>
          <w:rFonts w:asciiTheme="majorHAnsi" w:hAnsiTheme="majorHAnsi" w:cstheme="majorHAnsi"/>
          <w:sz w:val="24"/>
          <w:szCs w:val="24"/>
          <w:highlight w:val="red"/>
          <w:lang w:val="en-US"/>
        </w:rPr>
      </w:pPr>
      <w:r w:rsidRPr="00EC759A">
        <w:rPr>
          <w:rFonts w:asciiTheme="majorHAnsi" w:hAnsiTheme="majorHAnsi" w:cstheme="majorHAnsi"/>
          <w:sz w:val="24"/>
          <w:szCs w:val="24"/>
          <w:lang w:val="en-US"/>
        </w:rPr>
        <w:t>There are, however, at least three foci of concern. First, such measures have been debated in society several times merely as public policy options, and not as obligations of the State before the ratified conventions (ICCPR, CERD, CEDAW, etc.). Secondly, no clear parameters for monitoring the evolution of these measures were established, nor the designation of a specific public body for the respective monitoring, goals and evaluation of their effectiveness. And the third focus refers to the fact that temporary special measures are adopted in an ad hoc and fragmented manner between the three levels of administration and three powers.</w:t>
      </w:r>
    </w:p>
    <w:p w14:paraId="2D5320A9" w14:textId="11372303" w:rsidR="007E029F" w:rsidRPr="00EC759A" w:rsidRDefault="00EC759A" w:rsidP="00D20468">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For example, with regard to affirmative action to eradicate racial discrimination, the National Plan for the Promotion of Racial Equality (PLANAPIR) does not detail how it would be monitored. The Decree creating this plan was repealed by the previous administration (2019), not yet being restored by</w:t>
      </w:r>
      <w:r w:rsidR="00A708FB" w:rsidRPr="00EC759A">
        <w:rPr>
          <w:rFonts w:asciiTheme="majorHAnsi" w:hAnsiTheme="majorHAnsi" w:cstheme="majorHAnsi"/>
          <w:sz w:val="24"/>
          <w:szCs w:val="24"/>
          <w:lang w:val="en-US"/>
        </w:rPr>
        <w:t xml:space="preserve"> an equivalent nor</w:t>
      </w:r>
      <w:r w:rsidR="00D20468" w:rsidRPr="00EC759A">
        <w:rPr>
          <w:rFonts w:asciiTheme="majorHAnsi" w:hAnsiTheme="majorHAnsi" w:cstheme="majorHAnsi"/>
          <w:sz w:val="24"/>
          <w:szCs w:val="24"/>
          <w:lang w:val="en-US"/>
        </w:rPr>
        <w:t>m</w:t>
      </w:r>
      <w:r w:rsidR="00D20468" w:rsidRPr="00EC759A">
        <w:rPr>
          <w:rStyle w:val="FootnoteReference"/>
          <w:rFonts w:asciiTheme="majorHAnsi" w:hAnsiTheme="majorHAnsi" w:cstheme="majorHAnsi"/>
          <w:sz w:val="24"/>
          <w:szCs w:val="24"/>
          <w:lang w:val="en-US"/>
        </w:rPr>
        <w:footnoteReference w:id="12"/>
      </w:r>
      <w:r w:rsidR="00D20468" w:rsidRPr="00EC759A">
        <w:rPr>
          <w:rFonts w:asciiTheme="majorHAnsi" w:hAnsiTheme="majorHAnsi" w:cstheme="majorHAnsi"/>
          <w:sz w:val="24"/>
          <w:szCs w:val="24"/>
          <w:lang w:val="en-US"/>
        </w:rPr>
        <w:t>.</w:t>
      </w:r>
    </w:p>
    <w:p w14:paraId="6918C105" w14:textId="52050039" w:rsidR="007E029F" w:rsidRPr="00EC759A" w:rsidRDefault="00EC759A" w:rsidP="00D20468">
      <w:pPr>
        <w:pStyle w:val="Heading2"/>
        <w:rPr>
          <w:rFonts w:asciiTheme="majorHAnsi" w:hAnsiTheme="majorHAnsi" w:cstheme="majorHAnsi"/>
          <w:lang w:val="en-US"/>
        </w:rPr>
      </w:pPr>
      <w:bookmarkStart w:id="6" w:name="_Toc145507623"/>
      <w:r w:rsidRPr="00EC759A">
        <w:rPr>
          <w:rFonts w:asciiTheme="majorHAnsi" w:hAnsiTheme="majorHAnsi" w:cstheme="majorHAnsi"/>
          <w:lang w:val="en-US"/>
        </w:rPr>
        <w:t>2.2 Implementation of</w:t>
      </w:r>
      <w:r w:rsidR="00D20468" w:rsidRPr="00EC759A">
        <w:rPr>
          <w:rFonts w:asciiTheme="majorHAnsi" w:hAnsiTheme="majorHAnsi" w:cstheme="majorHAnsi"/>
          <w:lang w:val="en-US"/>
        </w:rPr>
        <w:t xml:space="preserve"> the</w:t>
      </w:r>
      <w:r w:rsidRPr="00EC759A">
        <w:rPr>
          <w:rFonts w:asciiTheme="majorHAnsi" w:hAnsiTheme="majorHAnsi" w:cstheme="majorHAnsi"/>
          <w:lang w:val="en-US"/>
        </w:rPr>
        <w:t xml:space="preserve"> ICESCR in the Domestic Sphere</w:t>
      </w:r>
      <w:bookmarkEnd w:id="6"/>
    </w:p>
    <w:p w14:paraId="75B1BD8C" w14:textId="77777777" w:rsidR="007E029F" w:rsidRPr="00EC759A" w:rsidRDefault="00EC759A" w:rsidP="00937430">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lang w:val="en-US"/>
        </w:rPr>
        <w:t xml:space="preserve">Despite the </w:t>
      </w:r>
      <w:r w:rsidR="00920BFB" w:rsidRPr="00EC759A">
        <w:rPr>
          <w:rFonts w:asciiTheme="majorHAnsi" w:hAnsiTheme="majorHAnsi" w:cstheme="majorHAnsi"/>
          <w:sz w:val="24"/>
          <w:szCs w:val="24"/>
          <w:lang w:val="en-US"/>
        </w:rPr>
        <w:t>longtime</w:t>
      </w:r>
      <w:r w:rsidRPr="00EC759A">
        <w:rPr>
          <w:rFonts w:asciiTheme="majorHAnsi" w:hAnsiTheme="majorHAnsi" w:cstheme="majorHAnsi"/>
          <w:sz w:val="24"/>
          <w:szCs w:val="24"/>
          <w:lang w:val="en-US"/>
        </w:rPr>
        <w:t xml:space="preserve"> of ratification of the ICESCR by the Brazilian State, there is still little knowledge of its provisions at the domestic level, in the branches of the judiciary, executive and legislative; and at the federal, state and municipal levels. Constitutional Amendment </w:t>
      </w:r>
      <w:r w:rsidRPr="00EC759A">
        <w:rPr>
          <w:rFonts w:asciiTheme="majorHAnsi" w:hAnsiTheme="majorHAnsi" w:cstheme="majorHAnsi"/>
          <w:sz w:val="24"/>
          <w:szCs w:val="24"/>
          <w:highlight w:val="white"/>
          <w:lang w:val="en-US"/>
        </w:rPr>
        <w:t>No. 45</w:t>
      </w:r>
      <w:r w:rsidRPr="00EC759A">
        <w:rPr>
          <w:rFonts w:asciiTheme="majorHAnsi" w:hAnsiTheme="majorHAnsi" w:cstheme="majorHAnsi"/>
          <w:sz w:val="24"/>
          <w:szCs w:val="24"/>
          <w:highlight w:val="white"/>
          <w:vertAlign w:val="superscript"/>
          <w:lang w:val="en-US"/>
        </w:rPr>
        <w:footnoteReference w:id="13"/>
      </w:r>
      <w:r w:rsidRPr="00EC759A">
        <w:rPr>
          <w:rFonts w:asciiTheme="majorHAnsi" w:hAnsiTheme="majorHAnsi" w:cstheme="majorHAnsi"/>
          <w:sz w:val="24"/>
          <w:szCs w:val="24"/>
          <w:highlight w:val="white"/>
          <w:lang w:val="en-US"/>
        </w:rPr>
        <w:t xml:space="preserve"> of December 2004 elevates to the category of constitutional amendment only the human rights conventions approved by </w:t>
      </w:r>
      <w:r w:rsidRPr="00EC759A">
        <w:rPr>
          <w:rFonts w:asciiTheme="majorHAnsi" w:eastAsia="Times New Roman" w:hAnsiTheme="majorHAnsi" w:cstheme="majorHAnsi"/>
          <w:sz w:val="24"/>
          <w:szCs w:val="24"/>
          <w:highlight w:val="white"/>
          <w:lang w:val="en-US"/>
        </w:rPr>
        <w:t>3/5</w:t>
      </w:r>
      <w:r w:rsidRPr="00EC759A">
        <w:rPr>
          <w:rFonts w:asciiTheme="majorHAnsi" w:hAnsiTheme="majorHAnsi" w:cstheme="majorHAnsi"/>
          <w:sz w:val="24"/>
          <w:szCs w:val="24"/>
          <w:highlight w:val="white"/>
          <w:lang w:val="en-US"/>
        </w:rPr>
        <w:t xml:space="preserve"> of the votes in </w:t>
      </w:r>
      <w:r w:rsidR="00920BFB" w:rsidRPr="00EC759A">
        <w:rPr>
          <w:rFonts w:asciiTheme="majorHAnsi" w:hAnsiTheme="majorHAnsi" w:cstheme="majorHAnsi"/>
          <w:sz w:val="24"/>
          <w:szCs w:val="24"/>
          <w:highlight w:val="white"/>
          <w:lang w:val="en-US"/>
        </w:rPr>
        <w:t>the National</w:t>
      </w:r>
      <w:r w:rsidRPr="00EC759A">
        <w:rPr>
          <w:rFonts w:asciiTheme="majorHAnsi" w:hAnsiTheme="majorHAnsi" w:cstheme="majorHAnsi"/>
          <w:sz w:val="24"/>
          <w:szCs w:val="24"/>
          <w:highlight w:val="white"/>
          <w:lang w:val="en-US"/>
        </w:rPr>
        <w:t xml:space="preserve"> Congress, in 2 rounds of voting, which does not reach the Covenant, because it was ratified before the approval of this Amendment. The Supreme Court of Brazil (STF) has not </w:t>
      </w:r>
      <w:r w:rsidR="00920BFB" w:rsidRPr="00EC759A">
        <w:rPr>
          <w:rFonts w:asciiTheme="majorHAnsi" w:hAnsiTheme="majorHAnsi" w:cstheme="majorHAnsi"/>
          <w:sz w:val="24"/>
          <w:szCs w:val="24"/>
          <w:highlight w:val="white"/>
          <w:lang w:val="en-US"/>
        </w:rPr>
        <w:t>yet clearly</w:t>
      </w:r>
      <w:r w:rsidRPr="00EC759A">
        <w:rPr>
          <w:rFonts w:asciiTheme="majorHAnsi" w:hAnsiTheme="majorHAnsi" w:cstheme="majorHAnsi"/>
          <w:sz w:val="24"/>
          <w:szCs w:val="24"/>
          <w:highlight w:val="white"/>
          <w:lang w:val="en-US"/>
        </w:rPr>
        <w:t xml:space="preserve"> established the hierarchical value of human rights conventions vis-à-vis domestic law. Even so, there is still incipient knowledge about the Covenant by the judiciary and rarely are its articles and general comments cited by judges, </w:t>
      </w:r>
      <w:r w:rsidRPr="00EC759A">
        <w:rPr>
          <w:rFonts w:asciiTheme="majorHAnsi" w:hAnsiTheme="majorHAnsi" w:cstheme="majorHAnsi"/>
          <w:sz w:val="24"/>
          <w:szCs w:val="24"/>
          <w:highlight w:val="white"/>
          <w:lang w:val="en-US"/>
        </w:rPr>
        <w:lastRenderedPageBreak/>
        <w:t xml:space="preserve">lawyers and prosecutors. Likewise, at the regional level, the process known as </w:t>
      </w:r>
      <w:r w:rsidRPr="00EC759A">
        <w:rPr>
          <w:rFonts w:asciiTheme="majorHAnsi" w:hAnsiTheme="majorHAnsi" w:cstheme="majorHAnsi"/>
          <w:i/>
          <w:sz w:val="24"/>
          <w:szCs w:val="24"/>
          <w:highlight w:val="white"/>
          <w:lang w:val="en-US"/>
        </w:rPr>
        <w:t>conventionality control</w:t>
      </w:r>
      <w:r w:rsidRPr="00EC759A">
        <w:rPr>
          <w:rFonts w:asciiTheme="majorHAnsi" w:hAnsiTheme="majorHAnsi" w:cstheme="majorHAnsi"/>
          <w:sz w:val="24"/>
          <w:szCs w:val="24"/>
          <w:highlight w:val="white"/>
          <w:lang w:val="en-US"/>
        </w:rPr>
        <w:t xml:space="preserve"> is performed exceptionally, creating a great challenge in the practical implementation of the Covenant and the other conventions. The National Council of Justice has made an effort to expand the application of these conventions, but so far it has been limited to the inter-American system</w:t>
      </w:r>
      <w:r w:rsidRPr="00EC759A">
        <w:rPr>
          <w:rFonts w:asciiTheme="majorHAnsi" w:hAnsiTheme="majorHAnsi" w:cstheme="majorHAnsi"/>
          <w:sz w:val="24"/>
          <w:szCs w:val="24"/>
          <w:highlight w:val="white"/>
          <w:vertAlign w:val="superscript"/>
          <w:lang w:val="en-US"/>
        </w:rPr>
        <w:footnoteReference w:id="14"/>
      </w:r>
      <w:r w:rsidRPr="00EC759A">
        <w:rPr>
          <w:rFonts w:asciiTheme="majorHAnsi" w:hAnsiTheme="majorHAnsi" w:cstheme="majorHAnsi"/>
          <w:sz w:val="24"/>
          <w:szCs w:val="24"/>
          <w:highlight w:val="white"/>
          <w:lang w:val="en-US"/>
        </w:rPr>
        <w:t>, leaving no room for the views of the treaty-bodies.</w:t>
      </w:r>
    </w:p>
    <w:p w14:paraId="3EC190CE" w14:textId="77777777" w:rsidR="007E029F" w:rsidRPr="00EC759A" w:rsidRDefault="00EC759A" w:rsidP="00937430">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Accession to the OP-ICESCR has not yet materialized, despite the rich domestic litigation on many economic, social, cultural and environmental rights.</w:t>
      </w:r>
    </w:p>
    <w:p w14:paraId="22DD0CE0" w14:textId="23836C2F" w:rsidR="007E029F" w:rsidRPr="00EC759A" w:rsidRDefault="00EC759A" w:rsidP="00937430">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 xml:space="preserve">The Federal Supreme Court (STF) rejected the obligation to comply with the judgment of the case </w:t>
      </w:r>
      <w:r w:rsidRPr="00EC759A">
        <w:rPr>
          <w:rFonts w:asciiTheme="majorHAnsi" w:hAnsiTheme="majorHAnsi" w:cstheme="majorHAnsi"/>
          <w:i/>
          <w:sz w:val="24"/>
          <w:szCs w:val="24"/>
          <w:highlight w:val="white"/>
          <w:lang w:val="en-US"/>
        </w:rPr>
        <w:t>Guerrilha do Araguaia v. Brasil</w:t>
      </w:r>
      <w:r w:rsidRPr="00EC759A">
        <w:rPr>
          <w:rFonts w:asciiTheme="majorHAnsi" w:hAnsiTheme="majorHAnsi" w:cstheme="majorHAnsi"/>
          <w:sz w:val="24"/>
          <w:szCs w:val="24"/>
          <w:highlight w:val="white"/>
          <w:lang w:val="en-US"/>
        </w:rPr>
        <w:t xml:space="preserve"> (2010) by the IACtHR, weakening a collaboration between both courts</w:t>
      </w:r>
      <w:r w:rsidRPr="00EC759A">
        <w:rPr>
          <w:rFonts w:asciiTheme="majorHAnsi" w:hAnsiTheme="majorHAnsi" w:cstheme="majorHAnsi"/>
          <w:sz w:val="24"/>
          <w:szCs w:val="24"/>
          <w:highlight w:val="white"/>
          <w:vertAlign w:val="superscript"/>
          <w:lang w:val="en-US"/>
        </w:rPr>
        <w:footnoteReference w:id="15"/>
      </w:r>
      <w:r w:rsidRPr="00EC759A">
        <w:rPr>
          <w:rFonts w:asciiTheme="majorHAnsi" w:hAnsiTheme="majorHAnsi" w:cstheme="majorHAnsi"/>
          <w:sz w:val="24"/>
          <w:szCs w:val="24"/>
          <w:highlight w:val="white"/>
          <w:lang w:val="en-US"/>
        </w:rPr>
        <w:t>.</w:t>
      </w:r>
    </w:p>
    <w:p w14:paraId="15439F48" w14:textId="1A328299" w:rsidR="007E029F" w:rsidRPr="00EC759A" w:rsidRDefault="00EC759A" w:rsidP="00937430">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On the other hand, Bill 220/2016</w:t>
      </w:r>
      <w:r w:rsidRPr="00EC759A">
        <w:rPr>
          <w:rFonts w:asciiTheme="majorHAnsi" w:hAnsiTheme="majorHAnsi" w:cstheme="majorHAnsi"/>
          <w:sz w:val="24"/>
          <w:szCs w:val="24"/>
          <w:highlight w:val="white"/>
          <w:vertAlign w:val="superscript"/>
          <w:lang w:val="en-US"/>
        </w:rPr>
        <w:footnoteReference w:id="16"/>
      </w:r>
      <w:r w:rsidRPr="00EC759A">
        <w:rPr>
          <w:rFonts w:asciiTheme="majorHAnsi" w:hAnsiTheme="majorHAnsi" w:cstheme="majorHAnsi"/>
          <w:sz w:val="24"/>
          <w:szCs w:val="24"/>
          <w:highlight w:val="white"/>
          <w:lang w:val="en-US"/>
        </w:rPr>
        <w:t>, which deals with the recognition of decisions by international human rights bodies, received new amendments expanding its scope of application to the organs of the UN system. However, the National Congress has not prioritized the handling of this bill that would give more legal certainty to victims of human rights violations</w:t>
      </w:r>
      <w:r w:rsidR="00A708FB" w:rsidRPr="00EC759A">
        <w:rPr>
          <w:rFonts w:asciiTheme="majorHAnsi" w:hAnsiTheme="majorHAnsi" w:cstheme="majorHAnsi"/>
          <w:sz w:val="24"/>
          <w:szCs w:val="24"/>
          <w:highlight w:val="white"/>
          <w:lang w:val="en-US"/>
        </w:rPr>
        <w:t xml:space="preserve"> of ESCRs</w:t>
      </w:r>
      <w:r w:rsidRPr="00EC759A">
        <w:rPr>
          <w:rFonts w:asciiTheme="majorHAnsi" w:hAnsiTheme="majorHAnsi" w:cstheme="majorHAnsi"/>
          <w:sz w:val="24"/>
          <w:szCs w:val="24"/>
          <w:highlight w:val="white"/>
          <w:lang w:val="en-US"/>
        </w:rPr>
        <w:t xml:space="preserve"> and the project was shelved.</w:t>
      </w:r>
    </w:p>
    <w:p w14:paraId="5E423F95" w14:textId="77777777" w:rsidR="007E029F" w:rsidRPr="00EC759A" w:rsidRDefault="00EC759A" w:rsidP="00937430">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highlight w:val="white"/>
          <w:lang w:val="en-US"/>
        </w:rPr>
        <w:t>The Brazilian State's own systemic delay in submitting periodic reports to the United Nations treaty bodies represents yet another challenge for the implementation of the Covenant. At the governmental and private levels, there is little knowledge of the review process by the treaty bodies and of the importance of the Committee's recommendations.</w:t>
      </w:r>
    </w:p>
    <w:p w14:paraId="01EA8F31" w14:textId="77777777" w:rsidR="00EC759A" w:rsidRDefault="00EC759A" w:rsidP="00D20468">
      <w:pPr>
        <w:pStyle w:val="Heading1"/>
        <w:rPr>
          <w:rFonts w:asciiTheme="majorHAnsi" w:hAnsiTheme="majorHAnsi" w:cstheme="majorHAnsi"/>
          <w:lang w:val="en-US"/>
        </w:rPr>
      </w:pPr>
      <w:bookmarkStart w:id="7" w:name="_Toc145507624"/>
    </w:p>
    <w:p w14:paraId="1C951B9A" w14:textId="4CBCCBFD" w:rsidR="007E029F" w:rsidRPr="00EC759A" w:rsidRDefault="00E06E31" w:rsidP="00D20468">
      <w:pPr>
        <w:pStyle w:val="Heading1"/>
        <w:rPr>
          <w:rFonts w:asciiTheme="majorHAnsi" w:hAnsiTheme="majorHAnsi" w:cstheme="majorHAnsi"/>
          <w:lang w:val="en-US"/>
        </w:rPr>
      </w:pPr>
      <w:r w:rsidRPr="00EC759A">
        <w:rPr>
          <w:rFonts w:asciiTheme="majorHAnsi" w:hAnsiTheme="majorHAnsi" w:cstheme="majorHAnsi"/>
          <w:lang w:val="en-US"/>
        </w:rPr>
        <w:t>3</w:t>
      </w:r>
      <w:r w:rsidR="00920BFB" w:rsidRPr="00EC759A">
        <w:rPr>
          <w:rFonts w:asciiTheme="majorHAnsi" w:hAnsiTheme="majorHAnsi" w:cstheme="majorHAnsi"/>
          <w:lang w:val="en-US"/>
        </w:rPr>
        <w:t xml:space="preserve"> - </w:t>
      </w:r>
      <w:r w:rsidRPr="00EC759A">
        <w:rPr>
          <w:rFonts w:asciiTheme="majorHAnsi" w:hAnsiTheme="majorHAnsi" w:cstheme="majorHAnsi"/>
          <w:lang w:val="en-US"/>
        </w:rPr>
        <w:t>A</w:t>
      </w:r>
      <w:r w:rsidR="00920BFB" w:rsidRPr="00EC759A">
        <w:rPr>
          <w:rFonts w:asciiTheme="majorHAnsi" w:hAnsiTheme="majorHAnsi" w:cstheme="majorHAnsi"/>
          <w:lang w:val="en-US"/>
        </w:rPr>
        <w:t>rticle</w:t>
      </w:r>
      <w:r w:rsidRPr="00EC759A">
        <w:rPr>
          <w:rFonts w:asciiTheme="majorHAnsi" w:hAnsiTheme="majorHAnsi" w:cstheme="majorHAnsi"/>
          <w:lang w:val="en-US"/>
        </w:rPr>
        <w:t xml:space="preserve"> 7</w:t>
      </w:r>
      <w:r w:rsidR="00D20468" w:rsidRPr="00EC759A">
        <w:rPr>
          <w:rFonts w:asciiTheme="majorHAnsi" w:hAnsiTheme="majorHAnsi" w:cstheme="majorHAnsi"/>
          <w:lang w:val="en-US"/>
        </w:rPr>
        <w:t xml:space="preserve"> ICESCR</w:t>
      </w:r>
      <w:r w:rsidR="00920BFB" w:rsidRPr="00EC759A">
        <w:rPr>
          <w:rFonts w:asciiTheme="majorHAnsi" w:hAnsiTheme="majorHAnsi" w:cstheme="majorHAnsi"/>
          <w:lang w:val="en-US"/>
        </w:rPr>
        <w:t>:</w:t>
      </w:r>
      <w:r w:rsidRPr="00EC759A">
        <w:rPr>
          <w:rFonts w:asciiTheme="majorHAnsi" w:hAnsiTheme="majorHAnsi" w:cstheme="majorHAnsi"/>
          <w:lang w:val="en-US"/>
        </w:rPr>
        <w:t xml:space="preserve"> </w:t>
      </w:r>
      <w:r w:rsidR="004C26D2" w:rsidRPr="00EC759A">
        <w:rPr>
          <w:rFonts w:asciiTheme="majorHAnsi" w:hAnsiTheme="majorHAnsi" w:cstheme="majorHAnsi"/>
          <w:lang w:val="en-US"/>
        </w:rPr>
        <w:t>Right to work</w:t>
      </w:r>
      <w:bookmarkEnd w:id="7"/>
    </w:p>
    <w:p w14:paraId="782CD1F1" w14:textId="563EADB1" w:rsidR="00A708FB" w:rsidRPr="00EC759A" w:rsidRDefault="00A708FB" w:rsidP="00791CF7">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In 2017, the labor reform was instituted by Law No. 13,467</w:t>
      </w:r>
      <w:r w:rsidRPr="00EC759A">
        <w:rPr>
          <w:rStyle w:val="FootnoteReference"/>
          <w:rFonts w:asciiTheme="majorHAnsi" w:hAnsiTheme="majorHAnsi" w:cstheme="majorHAnsi"/>
          <w:sz w:val="24"/>
          <w:szCs w:val="24"/>
          <w:lang w:val="en-US"/>
        </w:rPr>
        <w:footnoteReference w:id="17"/>
      </w:r>
      <w:r w:rsidRPr="00EC759A">
        <w:rPr>
          <w:rFonts w:asciiTheme="majorHAnsi" w:hAnsiTheme="majorHAnsi" w:cstheme="majorHAnsi"/>
          <w:sz w:val="24"/>
          <w:szCs w:val="24"/>
          <w:lang w:val="en-US"/>
        </w:rPr>
        <w:t>. The main points changed by the reform on employment relations, were in favor of the employer, by defining the prevalence of the negotiation over the legislative protection standards, d flexibilizing types of contractual ties, increasing the precariousness and informality.</w:t>
      </w:r>
    </w:p>
    <w:p w14:paraId="6A7EF446" w14:textId="29532EBB" w:rsidR="00A708FB" w:rsidRPr="00EC759A" w:rsidRDefault="00A708FB" w:rsidP="00791CF7">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latest data from the Continuous National Household Sample Survey (PNAD</w:t>
      </w:r>
      <w:r w:rsidRPr="00EC759A">
        <w:rPr>
          <w:rStyle w:val="FootnoteReference"/>
          <w:rFonts w:asciiTheme="majorHAnsi" w:hAnsiTheme="majorHAnsi" w:cstheme="majorHAnsi"/>
          <w:sz w:val="24"/>
          <w:szCs w:val="24"/>
          <w:lang w:val="en-US"/>
        </w:rPr>
        <w:footnoteReference w:id="18"/>
      </w:r>
      <w:r w:rsidRPr="00EC759A">
        <w:rPr>
          <w:rFonts w:asciiTheme="majorHAnsi" w:hAnsiTheme="majorHAnsi" w:cstheme="majorHAnsi"/>
          <w:sz w:val="24"/>
          <w:szCs w:val="24"/>
          <w:lang w:val="en-US"/>
        </w:rPr>
        <w:t xml:space="preserve">), conducted by the Brazilian Institute of Geography and Statistics (IBGE), for the quarter from April to June 2023, indicate that the number of people in the labor force in Brazil was 107,557 million. Of these, </w:t>
      </w:r>
      <w:r w:rsidRPr="00EC759A">
        <w:rPr>
          <w:rFonts w:asciiTheme="majorHAnsi" w:hAnsiTheme="majorHAnsi" w:cstheme="majorHAnsi"/>
          <w:sz w:val="24"/>
          <w:szCs w:val="24"/>
          <w:lang w:val="en-US"/>
        </w:rPr>
        <w:lastRenderedPageBreak/>
        <w:t>98,91 million. were employed and 8,647 million (8%) were unemployed. What draws attention is that 41,863 million (39%) of the employed people were working informally, without employment and access to labor rights. That is, only a little more than half of the national workforce (53%) benefits from some degree of legal support and protection (Graph 1).</w:t>
      </w:r>
    </w:p>
    <w:p w14:paraId="236E06A9" w14:textId="77777777" w:rsidR="00A708FB" w:rsidRPr="00EC759A" w:rsidRDefault="00A708FB" w:rsidP="00791CF7">
      <w:pPr>
        <w:jc w:val="both"/>
        <w:rPr>
          <w:rFonts w:asciiTheme="majorHAnsi" w:hAnsiTheme="majorHAnsi" w:cstheme="majorHAnsi"/>
          <w:lang w:val="en-US"/>
        </w:rPr>
      </w:pPr>
      <w:r w:rsidRPr="00EC759A">
        <w:rPr>
          <w:rFonts w:asciiTheme="majorHAnsi" w:hAnsiTheme="majorHAnsi" w:cstheme="majorHAnsi"/>
          <w:lang w:val="en-US"/>
        </w:rPr>
        <w:t>Graph 1 – Percentage of unemployed people in formal and informal work in Brazil in the second quarter of 2023.</w:t>
      </w:r>
    </w:p>
    <w:p w14:paraId="25D675E8" w14:textId="77777777" w:rsidR="007E029F" w:rsidRPr="00EC759A" w:rsidRDefault="00EC759A" w:rsidP="004C26D2">
      <w:pPr>
        <w:jc w:val="center"/>
        <w:rPr>
          <w:rFonts w:asciiTheme="majorHAnsi" w:eastAsia="Calibri" w:hAnsiTheme="majorHAnsi" w:cstheme="majorHAnsi"/>
          <w:sz w:val="24"/>
          <w:szCs w:val="24"/>
          <w:shd w:val="clear" w:color="auto" w:fill="CFE2F3"/>
          <w:lang w:val="en-US"/>
        </w:rPr>
      </w:pPr>
      <w:r w:rsidRPr="00EC759A">
        <w:rPr>
          <w:rFonts w:asciiTheme="majorHAnsi" w:eastAsia="Calibri" w:hAnsiTheme="majorHAnsi" w:cstheme="majorHAnsi"/>
          <w:noProof/>
          <w:sz w:val="24"/>
          <w:szCs w:val="24"/>
          <w:shd w:val="clear" w:color="auto" w:fill="CFE2F3"/>
          <w:lang w:val="en-US"/>
        </w:rPr>
        <w:drawing>
          <wp:inline distT="114300" distB="114300" distL="114300" distR="114300" wp14:anchorId="5293641C" wp14:editId="7B747A02">
            <wp:extent cx="5005137" cy="2685449"/>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5071713" cy="2721170"/>
                    </a:xfrm>
                    <a:prstGeom prst="rect">
                      <a:avLst/>
                    </a:prstGeom>
                    <a:ln/>
                  </pic:spPr>
                </pic:pic>
              </a:graphicData>
            </a:graphic>
          </wp:inline>
        </w:drawing>
      </w:r>
    </w:p>
    <w:p w14:paraId="2F7603C6" w14:textId="6E69BB23" w:rsidR="004C26D2" w:rsidRPr="00EC759A" w:rsidRDefault="004C26D2" w:rsidP="004C26D2">
      <w:pPr>
        <w:jc w:val="both"/>
        <w:rPr>
          <w:rFonts w:asciiTheme="majorHAnsi" w:hAnsiTheme="majorHAnsi" w:cstheme="majorHAnsi"/>
          <w:sz w:val="20"/>
          <w:szCs w:val="20"/>
          <w:lang w:val="en-US"/>
        </w:rPr>
      </w:pPr>
      <w:r w:rsidRPr="00EC759A">
        <w:rPr>
          <w:rFonts w:asciiTheme="majorHAnsi" w:hAnsiTheme="majorHAnsi" w:cstheme="majorHAnsi"/>
          <w:sz w:val="20"/>
          <w:szCs w:val="20"/>
          <w:lang w:val="en-US"/>
        </w:rPr>
        <w:t xml:space="preserve">            </w:t>
      </w:r>
      <w:r w:rsidR="00F916F2" w:rsidRPr="00EC759A">
        <w:rPr>
          <w:rFonts w:asciiTheme="majorHAnsi" w:hAnsiTheme="majorHAnsi" w:cstheme="majorHAnsi"/>
          <w:sz w:val="20"/>
          <w:szCs w:val="20"/>
          <w:lang w:val="en-US"/>
        </w:rPr>
        <w:t xml:space="preserve">  </w:t>
      </w:r>
      <w:r w:rsidR="00A708FB" w:rsidRPr="00EC759A">
        <w:rPr>
          <w:rFonts w:asciiTheme="majorHAnsi" w:hAnsiTheme="majorHAnsi" w:cstheme="majorHAnsi"/>
          <w:sz w:val="20"/>
          <w:szCs w:val="20"/>
          <w:lang w:val="en-US"/>
        </w:rPr>
        <w:t>Source</w:t>
      </w:r>
      <w:r w:rsidRPr="00EC759A">
        <w:rPr>
          <w:rFonts w:asciiTheme="majorHAnsi" w:hAnsiTheme="majorHAnsi" w:cstheme="majorHAnsi"/>
          <w:sz w:val="20"/>
          <w:szCs w:val="20"/>
          <w:lang w:val="en-US"/>
        </w:rPr>
        <w:t>: PNAD Contínua (A</w:t>
      </w:r>
      <w:r w:rsidR="00A708FB" w:rsidRPr="00EC759A">
        <w:rPr>
          <w:rFonts w:asciiTheme="majorHAnsi" w:hAnsiTheme="majorHAnsi" w:cstheme="majorHAnsi"/>
          <w:sz w:val="20"/>
          <w:szCs w:val="20"/>
          <w:lang w:val="en-US"/>
        </w:rPr>
        <w:t>pri</w:t>
      </w:r>
      <w:r w:rsidRPr="00EC759A">
        <w:rPr>
          <w:rFonts w:asciiTheme="majorHAnsi" w:hAnsiTheme="majorHAnsi" w:cstheme="majorHAnsi"/>
          <w:sz w:val="20"/>
          <w:szCs w:val="20"/>
          <w:lang w:val="en-US"/>
        </w:rPr>
        <w:t xml:space="preserve">l – </w:t>
      </w:r>
      <w:r w:rsidR="00A708FB" w:rsidRPr="00EC759A">
        <w:rPr>
          <w:rFonts w:asciiTheme="majorHAnsi" w:hAnsiTheme="majorHAnsi" w:cstheme="majorHAnsi"/>
          <w:sz w:val="20"/>
          <w:szCs w:val="20"/>
          <w:lang w:val="en-US"/>
        </w:rPr>
        <w:t>June</w:t>
      </w:r>
      <w:r w:rsidRPr="00EC759A">
        <w:rPr>
          <w:rFonts w:asciiTheme="majorHAnsi" w:hAnsiTheme="majorHAnsi" w:cstheme="majorHAnsi"/>
          <w:sz w:val="20"/>
          <w:szCs w:val="20"/>
          <w:lang w:val="en-US"/>
        </w:rPr>
        <w:t>, 2023).</w:t>
      </w:r>
    </w:p>
    <w:p w14:paraId="4AED6984" w14:textId="77777777" w:rsidR="00A708FB" w:rsidRPr="00EC759A" w:rsidRDefault="00A708FB" w:rsidP="004C26D2">
      <w:pPr>
        <w:jc w:val="both"/>
        <w:rPr>
          <w:rFonts w:asciiTheme="majorHAnsi" w:hAnsiTheme="majorHAnsi" w:cstheme="majorHAnsi"/>
          <w:sz w:val="20"/>
          <w:szCs w:val="20"/>
          <w:lang w:val="en-US"/>
        </w:rPr>
      </w:pPr>
    </w:p>
    <w:p w14:paraId="625E9608" w14:textId="10085D09" w:rsidR="00A708FB" w:rsidRPr="00EC759A" w:rsidRDefault="00A708FB" w:rsidP="00531A91">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sectors in which the employed people work are the private, domestic, public, in addition to the categories of employers, self-employed and family aid. In the private sector, 73.7% of working people have a formal contract. In the public sector, 1,402 million people work with a formal contract and 7,686 million as statutory, totaling 74.3%. Among the employers, 81.3% joined the National Registry of Legal Entities (CNPJ). These sectors account for 61.6% of the national workforce. On the other hand, 74.5% of people in the domestic sector and 100% of people in family aid work in informality. In addition, 75% of the people who perform autonomous professional activities are not linked to the CNPJ (graph 2).</w:t>
      </w:r>
    </w:p>
    <w:p w14:paraId="61AE89B2" w14:textId="5F028AC6" w:rsidR="00A708FB" w:rsidRPr="00EC759A" w:rsidRDefault="00A708FB" w:rsidP="00531A91">
      <w:pPr>
        <w:spacing w:after="120"/>
        <w:jc w:val="both"/>
        <w:rPr>
          <w:rFonts w:asciiTheme="majorHAnsi" w:hAnsiTheme="majorHAnsi" w:cstheme="majorHAnsi"/>
          <w:lang w:val="en-US"/>
        </w:rPr>
      </w:pPr>
      <w:r w:rsidRPr="00EC759A">
        <w:rPr>
          <w:rFonts w:asciiTheme="majorHAnsi" w:hAnsiTheme="majorHAnsi" w:cstheme="majorHAnsi"/>
          <w:lang w:val="en-US"/>
        </w:rPr>
        <w:t>Graph 2 – Number in millions of people in formal and informal work in Brazil in the second quarter of 2023 according to sector and category of work.</w:t>
      </w:r>
    </w:p>
    <w:p w14:paraId="728AB531" w14:textId="77777777" w:rsidR="004C26D2" w:rsidRPr="00EC759A" w:rsidRDefault="004C26D2" w:rsidP="004C26D2">
      <w:pPr>
        <w:jc w:val="both"/>
        <w:rPr>
          <w:rFonts w:asciiTheme="majorHAnsi" w:hAnsiTheme="majorHAnsi" w:cstheme="majorHAnsi"/>
          <w:sz w:val="24"/>
          <w:szCs w:val="24"/>
          <w:lang w:val="en-US"/>
        </w:rPr>
      </w:pPr>
      <w:r w:rsidRPr="00EC759A">
        <w:rPr>
          <w:rFonts w:asciiTheme="majorHAnsi" w:hAnsiTheme="majorHAnsi" w:cstheme="majorHAnsi"/>
          <w:noProof/>
          <w:lang w:val="en-US"/>
        </w:rPr>
        <w:lastRenderedPageBreak/>
        <w:drawing>
          <wp:inline distT="0" distB="0" distL="0" distR="0" wp14:anchorId="3E7997E3" wp14:editId="59C4AE5D">
            <wp:extent cx="5731510" cy="3048000"/>
            <wp:effectExtent l="0" t="0" r="8890" b="12700"/>
            <wp:docPr id="271885165"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E561E53" w14:textId="68926011" w:rsidR="004C26D2" w:rsidRPr="00EC759A" w:rsidRDefault="00A708FB" w:rsidP="004C26D2">
      <w:pPr>
        <w:spacing w:after="120"/>
        <w:jc w:val="both"/>
        <w:rPr>
          <w:rFonts w:asciiTheme="majorHAnsi" w:hAnsiTheme="majorHAnsi" w:cstheme="majorHAnsi"/>
          <w:sz w:val="20"/>
          <w:szCs w:val="20"/>
          <w:lang w:val="en-US"/>
        </w:rPr>
      </w:pPr>
      <w:r w:rsidRPr="00EC759A">
        <w:rPr>
          <w:rFonts w:asciiTheme="majorHAnsi" w:hAnsiTheme="majorHAnsi" w:cstheme="majorHAnsi"/>
          <w:sz w:val="20"/>
          <w:szCs w:val="20"/>
          <w:lang w:val="en-US"/>
        </w:rPr>
        <w:t>Source</w:t>
      </w:r>
      <w:r w:rsidR="004C26D2" w:rsidRPr="00EC759A">
        <w:rPr>
          <w:rFonts w:asciiTheme="majorHAnsi" w:hAnsiTheme="majorHAnsi" w:cstheme="majorHAnsi"/>
          <w:sz w:val="20"/>
          <w:szCs w:val="20"/>
          <w:lang w:val="en-US"/>
        </w:rPr>
        <w:t>: PNAD Contínua (</w:t>
      </w:r>
      <w:r w:rsidRPr="00EC759A">
        <w:rPr>
          <w:rFonts w:asciiTheme="majorHAnsi" w:hAnsiTheme="majorHAnsi" w:cstheme="majorHAnsi"/>
          <w:sz w:val="20"/>
          <w:szCs w:val="20"/>
          <w:lang w:val="en-US"/>
        </w:rPr>
        <w:t>April</w:t>
      </w:r>
      <w:r w:rsidR="004C26D2" w:rsidRPr="00EC759A">
        <w:rPr>
          <w:rFonts w:asciiTheme="majorHAnsi" w:hAnsiTheme="majorHAnsi" w:cstheme="majorHAnsi"/>
          <w:sz w:val="20"/>
          <w:szCs w:val="20"/>
          <w:lang w:val="en-US"/>
        </w:rPr>
        <w:t xml:space="preserve"> – </w:t>
      </w:r>
      <w:r w:rsidRPr="00EC759A">
        <w:rPr>
          <w:rFonts w:asciiTheme="majorHAnsi" w:hAnsiTheme="majorHAnsi" w:cstheme="majorHAnsi"/>
          <w:sz w:val="20"/>
          <w:szCs w:val="20"/>
          <w:lang w:val="en-US"/>
        </w:rPr>
        <w:t>June</w:t>
      </w:r>
      <w:r w:rsidR="004C26D2" w:rsidRPr="00EC759A">
        <w:rPr>
          <w:rFonts w:asciiTheme="majorHAnsi" w:hAnsiTheme="majorHAnsi" w:cstheme="majorHAnsi"/>
          <w:sz w:val="20"/>
          <w:szCs w:val="20"/>
          <w:lang w:val="en-US"/>
        </w:rPr>
        <w:t>, 2023).</w:t>
      </w:r>
    </w:p>
    <w:p w14:paraId="7CDC7A03" w14:textId="7638BDBA" w:rsidR="00677B0D" w:rsidRPr="00EC759A" w:rsidRDefault="00677B0D" w:rsidP="00CE74FB">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A survey based on PNAD data between 2014 and 2019 indicates that the private sector without work registration had black men as its largest workforce, on average 17% of them who were working. At the time, informality in all sectors and categories ranged from 46.3% in 2014 to 50.5% in 2019. In all years black, men were in greater numbers in general informality, followed by black women, white women and white men. In 2019, 54.5% of black men and 53% of black women were in this condition. 18% of employed black women were in the domestic work sector in the period, with the largest workforce in this sector, followed by white women, an average of 10% of whom were employed in the sector</w:t>
      </w:r>
      <w:r w:rsidRPr="00EC759A">
        <w:rPr>
          <w:rStyle w:val="FootnoteReference"/>
          <w:rFonts w:asciiTheme="majorHAnsi" w:hAnsiTheme="majorHAnsi" w:cstheme="majorHAnsi"/>
          <w:sz w:val="24"/>
          <w:szCs w:val="24"/>
          <w:lang w:val="en-US"/>
        </w:rPr>
        <w:footnoteReference w:id="19"/>
      </w:r>
      <w:r w:rsidRPr="00EC759A">
        <w:rPr>
          <w:rFonts w:asciiTheme="majorHAnsi" w:hAnsiTheme="majorHAnsi" w:cstheme="majorHAnsi"/>
          <w:sz w:val="24"/>
          <w:szCs w:val="24"/>
          <w:lang w:val="en-US"/>
        </w:rPr>
        <w:t xml:space="preserve">. PNAD data from the third quarter of 2021 indicate that more than 95% of people in the domestic sector were women and more than 64% were black and brown women20. </w:t>
      </w:r>
    </w:p>
    <w:p w14:paraId="3141BC9A" w14:textId="3EA22092" w:rsidR="00677B0D" w:rsidRPr="00EC759A" w:rsidRDefault="00677B0D" w:rsidP="00CE74FB">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Another analysis, carried out by the Inter-Union Department of Statistics and Socioeconomic Studies (DIEESE)</w:t>
      </w:r>
      <w:r w:rsidRPr="00EC759A">
        <w:rPr>
          <w:rStyle w:val="FootnoteReference"/>
          <w:rFonts w:asciiTheme="majorHAnsi" w:hAnsiTheme="majorHAnsi" w:cstheme="majorHAnsi"/>
          <w:sz w:val="24"/>
          <w:szCs w:val="24"/>
          <w:lang w:val="en-US"/>
        </w:rPr>
        <w:footnoteReference w:id="20"/>
      </w:r>
      <w:r w:rsidRPr="00EC759A">
        <w:rPr>
          <w:rFonts w:asciiTheme="majorHAnsi" w:hAnsiTheme="majorHAnsi" w:cstheme="majorHAnsi"/>
          <w:sz w:val="24"/>
          <w:szCs w:val="24"/>
          <w:lang w:val="en-US"/>
        </w:rPr>
        <w:t xml:space="preserve"> of  PNAD data indicates that between the 1st and 2nd quarter of 2020, during the Covid-19 pandemic, of the 8 million people who lost their jobs, 6,3 million were black and, equivalent to 71% of the total workforce.</w:t>
      </w:r>
    </w:p>
    <w:p w14:paraId="5EE2C96F" w14:textId="77777777" w:rsidR="00677B0D" w:rsidRPr="00EC759A" w:rsidRDefault="00677B0D" w:rsidP="006E4212">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The 2022 report Retrato Do Trabalho Informal No Brasil (Portrait of Informal Work in Brazil</w:t>
      </w:r>
      <w:r w:rsidRPr="00EC759A">
        <w:rPr>
          <w:rStyle w:val="FootnoteReference"/>
          <w:rFonts w:asciiTheme="majorHAnsi" w:hAnsiTheme="majorHAnsi" w:cstheme="majorHAnsi"/>
          <w:sz w:val="24"/>
          <w:szCs w:val="24"/>
          <w:lang w:val="en-US"/>
        </w:rPr>
        <w:footnoteReference w:id="21"/>
      </w:r>
      <w:r w:rsidRPr="00EC759A">
        <w:rPr>
          <w:rFonts w:asciiTheme="majorHAnsi" w:hAnsiTheme="majorHAnsi" w:cstheme="majorHAnsi"/>
          <w:sz w:val="24"/>
          <w:szCs w:val="24"/>
          <w:lang w:val="en-US"/>
        </w:rPr>
        <w:t xml:space="preserve">) further investigates the scenario of precariousness and informality of work after the 2017 Labor </w:t>
      </w:r>
      <w:r w:rsidRPr="00EC759A">
        <w:rPr>
          <w:rFonts w:asciiTheme="majorHAnsi" w:hAnsiTheme="majorHAnsi" w:cstheme="majorHAnsi"/>
          <w:sz w:val="24"/>
          <w:szCs w:val="24"/>
          <w:lang w:val="en-US"/>
        </w:rPr>
        <w:lastRenderedPageBreak/>
        <w:t xml:space="preserve">Reform and the Covid-19 Pandemic. Based on PNAD data from the third quarter of 2021, it was in informal subsistence work (occupations of alternative to poverty, of low quality and without growth prospects) that the majority of people in informal situations were found: 19,672 million (60.5%) of the total of 32,513 million informal workers. Two-thirds of these people were self-employed, "entrepreneurs by necessity." In this group of informal subsistence there are also people with a lower level of education, in addition to a greater presence of the black population and in the range of 0.5 to 1 minimum wage. </w:t>
      </w:r>
    </w:p>
    <w:p w14:paraId="4D459EDB" w14:textId="6CC8654A" w:rsidR="00677B0D" w:rsidRPr="00EC759A" w:rsidRDefault="00677B0D" w:rsidP="006E4212">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 xml:space="preserve">The report also highlights the increase in work by apps such as drivers and couriers. It is estimated that in the second half of 2021 Brazil had more than 1.4 million people working in these modalities that work linked to companies providing services, but informally, without any social benefits, with high workloads, for low incomes. </w:t>
      </w:r>
    </w:p>
    <w:p w14:paraId="08C5BF19" w14:textId="77777777" w:rsidR="00677B0D" w:rsidRPr="00EC759A" w:rsidRDefault="00677B0D" w:rsidP="00031DD9">
      <w:pPr>
        <w:spacing w:after="120"/>
        <w:jc w:val="both"/>
        <w:rPr>
          <w:rFonts w:asciiTheme="majorHAnsi" w:hAnsiTheme="majorHAnsi" w:cstheme="majorHAnsi"/>
          <w:sz w:val="24"/>
          <w:szCs w:val="24"/>
          <w:lang w:val="en-US"/>
        </w:rPr>
      </w:pPr>
      <w:r w:rsidRPr="00EC759A">
        <w:rPr>
          <w:rFonts w:asciiTheme="majorHAnsi" w:hAnsiTheme="majorHAnsi" w:cstheme="majorHAnsi"/>
          <w:sz w:val="24"/>
          <w:szCs w:val="24"/>
          <w:lang w:val="en-US"/>
        </w:rPr>
        <w:t>In terms of income, in the second quarter of 2022, according to a report</w:t>
      </w:r>
      <w:r w:rsidRPr="00EC759A">
        <w:rPr>
          <w:rFonts w:asciiTheme="majorHAnsi" w:hAnsiTheme="majorHAnsi" w:cstheme="majorHAnsi"/>
          <w:sz w:val="24"/>
          <w:szCs w:val="24"/>
          <w:vertAlign w:val="superscript"/>
          <w:lang w:val="en-US"/>
        </w:rPr>
        <w:footnoteReference w:id="22"/>
      </w:r>
      <w:r w:rsidRPr="00EC759A">
        <w:rPr>
          <w:rFonts w:asciiTheme="majorHAnsi" w:hAnsiTheme="majorHAnsi" w:cstheme="majorHAnsi"/>
          <w:sz w:val="24"/>
          <w:szCs w:val="24"/>
          <w:lang w:val="en-US"/>
        </w:rPr>
        <w:t xml:space="preserve"> by the Pact to Promote Racial Equity, white men had an average income 30% higher than white women, 64% higher than black men and 102% higher than black women. Unemployment also hits black women hardest. While the unemployment rate was 7.1% among white men, among black men it was 10.1%, among white women it was 10.7% and among black women it was 17.1%. These data help explain why food insecurity affected 64.1% of Brazilian households for which women were responsible, with 19.3% in severe food insecurity, according to De Olho na Fome.</w:t>
      </w:r>
      <w:r w:rsidRPr="00EC759A">
        <w:rPr>
          <w:rFonts w:asciiTheme="majorHAnsi" w:hAnsiTheme="majorHAnsi" w:cstheme="majorHAnsi"/>
          <w:sz w:val="24"/>
          <w:szCs w:val="24"/>
          <w:vertAlign w:val="superscript"/>
          <w:lang w:val="en-US"/>
        </w:rPr>
        <w:footnoteReference w:id="23"/>
      </w:r>
      <w:r w:rsidRPr="00EC759A">
        <w:rPr>
          <w:rFonts w:asciiTheme="majorHAnsi" w:hAnsiTheme="majorHAnsi" w:cstheme="majorHAnsi"/>
          <w:sz w:val="24"/>
          <w:szCs w:val="24"/>
          <w:lang w:val="en-US"/>
        </w:rPr>
        <w:t xml:space="preserve"> Considering race, 65% of the households for which a black person was responsible were also at some level of food insecurity, with 18.1% being severely food insecure. </w:t>
      </w:r>
    </w:p>
    <w:p w14:paraId="2540DB08" w14:textId="77777777" w:rsidR="00677B0D" w:rsidRPr="00EC759A" w:rsidRDefault="00677B0D" w:rsidP="00031DD9">
      <w:pPr>
        <w:spacing w:after="120"/>
        <w:jc w:val="both"/>
        <w:rPr>
          <w:rFonts w:asciiTheme="majorHAnsi" w:hAnsiTheme="majorHAnsi" w:cstheme="majorHAnsi"/>
          <w:sz w:val="24"/>
          <w:szCs w:val="24"/>
          <w:lang w:val="en-US"/>
        </w:rPr>
      </w:pPr>
    </w:p>
    <w:p w14:paraId="441F772E" w14:textId="77777777" w:rsidR="00677B0D" w:rsidRPr="00EC759A" w:rsidRDefault="00677B0D" w:rsidP="00D20468">
      <w:pPr>
        <w:pStyle w:val="Heading2"/>
        <w:rPr>
          <w:rFonts w:asciiTheme="majorHAnsi" w:hAnsiTheme="majorHAnsi" w:cstheme="majorHAnsi"/>
          <w:lang w:val="en-US"/>
        </w:rPr>
      </w:pPr>
      <w:bookmarkStart w:id="8" w:name="_Toc145507625"/>
      <w:r w:rsidRPr="00EC759A">
        <w:rPr>
          <w:rFonts w:asciiTheme="majorHAnsi" w:hAnsiTheme="majorHAnsi" w:cstheme="majorHAnsi"/>
          <w:lang w:val="en-US"/>
        </w:rPr>
        <w:t>3.1 Work, race and gender</w:t>
      </w:r>
      <w:bookmarkEnd w:id="8"/>
    </w:p>
    <w:p w14:paraId="062BFF2C" w14:textId="19BA0917" w:rsidR="00677B0D" w:rsidRPr="00EC759A" w:rsidRDefault="00677B0D" w:rsidP="00031DD9">
      <w:pPr>
        <w:spacing w:after="120"/>
        <w:jc w:val="both"/>
        <w:rPr>
          <w:rFonts w:asciiTheme="majorHAnsi" w:hAnsiTheme="majorHAnsi" w:cstheme="majorHAnsi"/>
          <w:color w:val="212121"/>
          <w:sz w:val="24"/>
          <w:szCs w:val="24"/>
          <w:lang w:val="en-US"/>
        </w:rPr>
      </w:pPr>
      <w:r w:rsidRPr="00EC759A">
        <w:rPr>
          <w:rFonts w:asciiTheme="majorHAnsi" w:hAnsiTheme="majorHAnsi" w:cstheme="majorHAnsi"/>
          <w:color w:val="212121"/>
          <w:sz w:val="24"/>
          <w:szCs w:val="24"/>
          <w:lang w:val="en-US"/>
        </w:rPr>
        <w:t>According to the Brazilian thinker Florestan Fernandes, "work takes root in Brazil through slave labor". It is in this context that, for almost 400 years, work was "a black thing." Thus, it is urgent to confront inequalities at work, particularly racial inequalities.</w:t>
      </w:r>
    </w:p>
    <w:p w14:paraId="60E8FE32" w14:textId="77777777" w:rsidR="00677B0D" w:rsidRPr="00EC759A" w:rsidRDefault="00677B0D" w:rsidP="00031DD9">
      <w:pPr>
        <w:spacing w:after="120"/>
        <w:ind w:firstLine="20"/>
        <w:jc w:val="both"/>
        <w:rPr>
          <w:rFonts w:asciiTheme="majorHAnsi" w:hAnsiTheme="majorHAnsi" w:cstheme="majorHAnsi"/>
          <w:color w:val="212121"/>
          <w:sz w:val="24"/>
          <w:szCs w:val="24"/>
          <w:lang w:val="en-US"/>
        </w:rPr>
      </w:pPr>
      <w:r w:rsidRPr="00EC759A">
        <w:rPr>
          <w:rFonts w:asciiTheme="majorHAnsi" w:hAnsiTheme="majorHAnsi" w:cstheme="majorHAnsi"/>
          <w:color w:val="212121"/>
          <w:sz w:val="24"/>
          <w:szCs w:val="24"/>
          <w:lang w:val="en-US"/>
        </w:rPr>
        <w:t>Observing data from the last decade, we see how systemic inequalities in labor relations are. When we analyze the historical series of the last decade, from the fourth quarter of 2012 to the last quarter of 2022, we realize that the restriction of access to the labor market presented vertiginous growth - the contingent of labor force grew 10.9%, but the growth of people in a condition of discouragement grew 110% (Radar CEERT - PNAD Continua/IBGE - last quarter of 2022).</w:t>
      </w:r>
    </w:p>
    <w:p w14:paraId="656C9B61" w14:textId="10FB8668" w:rsidR="00677B0D" w:rsidRPr="00EC759A" w:rsidRDefault="00677B0D" w:rsidP="00031DD9">
      <w:pPr>
        <w:spacing w:after="120"/>
        <w:ind w:firstLine="20"/>
        <w:jc w:val="both"/>
        <w:rPr>
          <w:rFonts w:asciiTheme="majorHAnsi" w:hAnsiTheme="majorHAnsi" w:cstheme="majorHAnsi"/>
          <w:color w:val="212121"/>
          <w:sz w:val="24"/>
          <w:szCs w:val="24"/>
          <w:lang w:val="en-US"/>
        </w:rPr>
      </w:pPr>
      <w:r w:rsidRPr="00EC759A">
        <w:rPr>
          <w:rFonts w:asciiTheme="majorHAnsi" w:hAnsiTheme="majorHAnsi" w:cstheme="majorHAnsi"/>
          <w:color w:val="212121"/>
          <w:sz w:val="24"/>
          <w:szCs w:val="24"/>
          <w:lang w:val="en-US"/>
        </w:rPr>
        <w:lastRenderedPageBreak/>
        <w:t xml:space="preserve">Although black people represent 55.9% of the workforce, they correspond to 72.7%, and black women are the most affected. Discouraged are people who are available to take on a job, but who do not find it in the locality in which they reside; they can't get work because they're considered too young or too old; they do not have sufficient professional experience or qualification and interrupt the search for work. </w:t>
      </w:r>
    </w:p>
    <w:p w14:paraId="1291C291" w14:textId="77777777" w:rsidR="00677B0D" w:rsidRPr="00EC759A" w:rsidRDefault="00677B0D" w:rsidP="00031DD9">
      <w:pPr>
        <w:spacing w:after="120"/>
        <w:ind w:firstLine="20"/>
        <w:jc w:val="both"/>
        <w:rPr>
          <w:rFonts w:asciiTheme="majorHAnsi" w:hAnsiTheme="majorHAnsi" w:cstheme="majorHAnsi"/>
          <w:color w:val="212121"/>
          <w:sz w:val="24"/>
          <w:szCs w:val="24"/>
          <w:lang w:val="en-US"/>
        </w:rPr>
      </w:pPr>
      <w:r w:rsidRPr="00EC759A">
        <w:rPr>
          <w:rFonts w:asciiTheme="majorHAnsi" w:hAnsiTheme="majorHAnsi" w:cstheme="majorHAnsi"/>
          <w:color w:val="212121"/>
          <w:sz w:val="24"/>
          <w:szCs w:val="24"/>
          <w:lang w:val="en-US"/>
        </w:rPr>
        <w:t>The same survey reveals that they are also black people (66.8%), the majority of underutilized in the country, double the percentage of 32.7% that corresponds to white people. An estimated 8 million underutilized black women are underutilized, and in the case of white men, this contingent is 3 million.</w:t>
      </w:r>
    </w:p>
    <w:p w14:paraId="7CE1DE7B" w14:textId="77777777" w:rsidR="00677B0D" w:rsidRPr="00EC759A" w:rsidRDefault="00677B0D" w:rsidP="00031DD9">
      <w:pPr>
        <w:spacing w:after="120"/>
        <w:ind w:firstLine="20"/>
        <w:jc w:val="both"/>
        <w:rPr>
          <w:rFonts w:asciiTheme="majorHAnsi" w:hAnsiTheme="majorHAnsi" w:cstheme="majorHAnsi"/>
          <w:color w:val="212121"/>
          <w:sz w:val="24"/>
          <w:szCs w:val="24"/>
          <w:lang w:val="en-US"/>
        </w:rPr>
      </w:pPr>
      <w:r w:rsidRPr="00EC759A">
        <w:rPr>
          <w:rFonts w:asciiTheme="majorHAnsi" w:hAnsiTheme="majorHAnsi" w:cstheme="majorHAnsi"/>
          <w:color w:val="212121"/>
          <w:sz w:val="24"/>
          <w:szCs w:val="24"/>
          <w:lang w:val="en-US"/>
        </w:rPr>
        <w:t>In the last decade, the rate of precariousness (low wages, insufficient hours worked, informality, intermittency, lack of stability or lack of guarantee of rights) reached 51.1%, explaining the structural problem of the Brazilian labor market. In the case of black women, precariousness rates reach 63.1%, almost double the rate of white men, which is 39.3% (Radar CEERT - PNAD Continua/IBGE - last quarter of 2022).</w:t>
      </w:r>
    </w:p>
    <w:p w14:paraId="00212287" w14:textId="77777777" w:rsidR="00677B0D" w:rsidRPr="00EC759A" w:rsidRDefault="00677B0D" w:rsidP="00031DD9">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color w:val="212121"/>
          <w:sz w:val="24"/>
          <w:szCs w:val="24"/>
          <w:lang w:val="en-US"/>
        </w:rPr>
        <w:t xml:space="preserve">Another major challenge faced by black women relates to domestic work. We have in Brazil, </w:t>
      </w:r>
      <w:r w:rsidRPr="00EC759A">
        <w:rPr>
          <w:rFonts w:asciiTheme="majorHAnsi" w:hAnsiTheme="majorHAnsi" w:cstheme="majorHAnsi"/>
          <w:sz w:val="24"/>
          <w:szCs w:val="24"/>
          <w:highlight w:val="white"/>
          <w:lang w:val="en-US"/>
        </w:rPr>
        <w:t>6,019 million people in domestic employment, of which 92% are women, and 63% black</w:t>
      </w:r>
      <w:r w:rsidRPr="00EC759A">
        <w:rPr>
          <w:rStyle w:val="FootnoteReference"/>
          <w:rFonts w:asciiTheme="majorHAnsi" w:hAnsiTheme="majorHAnsi" w:cstheme="majorHAnsi"/>
          <w:sz w:val="24"/>
          <w:szCs w:val="24"/>
          <w:highlight w:val="white"/>
          <w:lang w:val="en-US"/>
        </w:rPr>
        <w:footnoteReference w:id="24"/>
      </w:r>
      <w:r w:rsidRPr="00EC759A">
        <w:rPr>
          <w:rFonts w:asciiTheme="majorHAnsi" w:hAnsiTheme="majorHAnsi" w:cstheme="majorHAnsi"/>
          <w:sz w:val="24"/>
          <w:szCs w:val="24"/>
          <w:highlight w:val="white"/>
          <w:lang w:val="en-US"/>
        </w:rPr>
        <w:t>.</w:t>
      </w:r>
    </w:p>
    <w:p w14:paraId="123642AD" w14:textId="73485CE3" w:rsidR="00677B0D" w:rsidRPr="00EC759A" w:rsidRDefault="00677B0D" w:rsidP="00031DD9">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 xml:space="preserve">The </w:t>
      </w:r>
      <w:r w:rsidR="00193A64" w:rsidRPr="00EC759A">
        <w:rPr>
          <w:rFonts w:asciiTheme="majorHAnsi" w:hAnsiTheme="majorHAnsi" w:cstheme="majorHAnsi"/>
          <w:sz w:val="24"/>
          <w:szCs w:val="24"/>
          <w:highlight w:val="white"/>
          <w:lang w:val="en-US"/>
        </w:rPr>
        <w:t>achievment,</w:t>
      </w:r>
      <w:r w:rsidRPr="00EC759A">
        <w:rPr>
          <w:rFonts w:asciiTheme="majorHAnsi" w:hAnsiTheme="majorHAnsi" w:cstheme="majorHAnsi"/>
          <w:sz w:val="24"/>
          <w:szCs w:val="24"/>
          <w:highlight w:val="white"/>
          <w:lang w:val="en-US"/>
        </w:rPr>
        <w:t xml:space="preserve"> in 2015</w:t>
      </w:r>
      <w:r w:rsidR="00193A64" w:rsidRPr="00EC759A">
        <w:rPr>
          <w:rFonts w:asciiTheme="majorHAnsi" w:hAnsiTheme="majorHAnsi" w:cstheme="majorHAnsi"/>
          <w:sz w:val="24"/>
          <w:szCs w:val="24"/>
          <w:highlight w:val="white"/>
          <w:lang w:val="en-US"/>
        </w:rPr>
        <w:t>,</w:t>
      </w:r>
      <w:r w:rsidRPr="00EC759A">
        <w:rPr>
          <w:rFonts w:asciiTheme="majorHAnsi" w:hAnsiTheme="majorHAnsi" w:cstheme="majorHAnsi"/>
          <w:sz w:val="24"/>
          <w:szCs w:val="24"/>
          <w:highlight w:val="white"/>
          <w:lang w:val="en-US"/>
        </w:rPr>
        <w:t xml:space="preserve"> of the "PEC das Domésticas</w:t>
      </w:r>
      <w:r w:rsidR="00193A64" w:rsidRPr="00EC759A">
        <w:rPr>
          <w:rFonts w:asciiTheme="majorHAnsi" w:hAnsiTheme="majorHAnsi" w:cstheme="majorHAnsi"/>
          <w:sz w:val="24"/>
          <w:szCs w:val="24"/>
          <w:highlight w:val="white"/>
          <w:lang w:val="en-US"/>
        </w:rPr>
        <w:t>”</w:t>
      </w:r>
      <w:r w:rsidRPr="00EC759A">
        <w:rPr>
          <w:rFonts w:asciiTheme="majorHAnsi" w:hAnsiTheme="majorHAnsi" w:cstheme="majorHAnsi"/>
          <w:sz w:val="24"/>
          <w:szCs w:val="24"/>
          <w:highlight w:val="white"/>
          <w:lang w:val="en-US"/>
        </w:rPr>
        <w:t xml:space="preserve"> (The “Maid’s Constitutional Amendment”), was an important victory built over decades. As the "Black Women's March – 2015:</w:t>
      </w:r>
      <w:r w:rsidRPr="00EC759A">
        <w:rPr>
          <w:rFonts w:asciiTheme="majorHAnsi" w:hAnsiTheme="majorHAnsi" w:cstheme="majorHAnsi"/>
          <w:i/>
          <w:sz w:val="24"/>
          <w:szCs w:val="24"/>
          <w:highlight w:val="white"/>
          <w:lang w:val="en-US"/>
        </w:rPr>
        <w:t xml:space="preserve"> Our Steps Come from Afar...</w:t>
      </w:r>
      <w:r w:rsidRPr="00EC759A">
        <w:rPr>
          <w:rFonts w:asciiTheme="majorHAnsi" w:hAnsiTheme="majorHAnsi" w:cstheme="majorHAnsi"/>
          <w:sz w:val="24"/>
          <w:szCs w:val="24"/>
          <w:highlight w:val="white"/>
          <w:lang w:val="en-US"/>
        </w:rPr>
        <w:t xml:space="preserve">".  </w:t>
      </w:r>
    </w:p>
    <w:p w14:paraId="46A8B214" w14:textId="77777777" w:rsidR="00677B0D" w:rsidRPr="00EC759A" w:rsidRDefault="00677B0D" w:rsidP="00031DD9">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sz w:val="24"/>
          <w:szCs w:val="24"/>
          <w:highlight w:val="white"/>
          <w:lang w:val="en-US"/>
        </w:rPr>
        <w:t xml:space="preserve">An important point in this trajectory of black women occurred in </w:t>
      </w:r>
      <w:r w:rsidRPr="00EC759A">
        <w:rPr>
          <w:rFonts w:asciiTheme="majorHAnsi" w:hAnsiTheme="majorHAnsi" w:cstheme="majorHAnsi"/>
          <w:sz w:val="24"/>
          <w:szCs w:val="24"/>
          <w:shd w:val="clear" w:color="auto" w:fill="FEFFFF"/>
          <w:lang w:val="en-US"/>
        </w:rPr>
        <w:t xml:space="preserve">1936, through the work of Laudelina de Campos Meio, who founded the Professional Association of Domestic Employees of Santos </w:t>
      </w:r>
      <w:r w:rsidRPr="00EC759A">
        <w:rPr>
          <w:rFonts w:asciiTheme="majorHAnsi" w:hAnsiTheme="majorHAnsi" w:cstheme="majorHAnsi"/>
          <w:color w:val="212121"/>
          <w:sz w:val="24"/>
          <w:szCs w:val="24"/>
          <w:lang w:val="en-US"/>
        </w:rPr>
        <w:t xml:space="preserve">(SP). </w:t>
      </w:r>
      <w:r w:rsidRPr="00EC759A">
        <w:rPr>
          <w:rFonts w:asciiTheme="majorHAnsi" w:hAnsiTheme="majorHAnsi" w:cstheme="majorHAnsi"/>
          <w:color w:val="000000" w:themeColor="text1"/>
          <w:sz w:val="24"/>
          <w:szCs w:val="24"/>
          <w:lang w:val="en-US"/>
        </w:rPr>
        <w:t>Many struggles have been waged by domestic workers since then, until the "PEC of Domestic Workers" was sanctioned.</w:t>
      </w:r>
    </w:p>
    <w:p w14:paraId="676688F2" w14:textId="77777777" w:rsidR="00193A64" w:rsidRPr="00EC759A" w:rsidRDefault="00193A64" w:rsidP="00997011">
      <w:pPr>
        <w:spacing w:after="120"/>
        <w:jc w:val="both"/>
        <w:rPr>
          <w:rFonts w:asciiTheme="majorHAnsi" w:hAnsiTheme="majorHAnsi" w:cstheme="majorHAnsi"/>
          <w:sz w:val="24"/>
          <w:szCs w:val="24"/>
          <w:shd w:val="clear" w:color="auto" w:fill="FEFFFF"/>
          <w:lang w:val="en-US"/>
        </w:rPr>
      </w:pPr>
      <w:r w:rsidRPr="00EC759A">
        <w:rPr>
          <w:rFonts w:asciiTheme="majorHAnsi" w:hAnsiTheme="majorHAnsi" w:cstheme="majorHAnsi"/>
          <w:sz w:val="24"/>
          <w:szCs w:val="24"/>
          <w:highlight w:val="white"/>
          <w:lang w:val="en-US"/>
        </w:rPr>
        <w:t xml:space="preserve">Now, the challenge is not only to ensure the enforcement of </w:t>
      </w:r>
      <w:r w:rsidRPr="00EC759A">
        <w:rPr>
          <w:rFonts w:asciiTheme="majorHAnsi" w:hAnsiTheme="majorHAnsi" w:cstheme="majorHAnsi"/>
          <w:sz w:val="24"/>
          <w:szCs w:val="24"/>
          <w:shd w:val="clear" w:color="auto" w:fill="FEFFFF"/>
          <w:lang w:val="en-US"/>
        </w:rPr>
        <w:t>rights with immediate effectiveness, but also to focus on those still awaiting further regulation.</w:t>
      </w:r>
    </w:p>
    <w:p w14:paraId="63A0A320" w14:textId="70228747" w:rsidR="00193A64" w:rsidRPr="00EC759A" w:rsidRDefault="00193A64" w:rsidP="00997011">
      <w:pPr>
        <w:spacing w:after="120"/>
        <w:jc w:val="both"/>
        <w:rPr>
          <w:rFonts w:asciiTheme="majorHAnsi" w:hAnsiTheme="majorHAnsi" w:cstheme="majorHAnsi"/>
          <w:color w:val="212121"/>
          <w:sz w:val="24"/>
          <w:szCs w:val="24"/>
          <w:lang w:val="en-US"/>
        </w:rPr>
      </w:pPr>
      <w:r w:rsidRPr="00EC759A">
        <w:rPr>
          <w:rFonts w:asciiTheme="majorHAnsi" w:hAnsiTheme="majorHAnsi" w:cstheme="majorHAnsi"/>
          <w:sz w:val="24"/>
          <w:szCs w:val="24"/>
          <w:highlight w:val="white"/>
          <w:lang w:val="en-US"/>
        </w:rPr>
        <w:t>Concerning jobs in the context of the bioeconomy, which will strongly affect the future of work of our youth, it is essential to consider that a strategic region such as the Amazon has a majority black population (</w:t>
      </w:r>
      <w:r w:rsidRPr="00EC759A">
        <w:rPr>
          <w:rFonts w:asciiTheme="majorHAnsi" w:hAnsiTheme="majorHAnsi" w:cstheme="majorHAnsi"/>
          <w:color w:val="212121"/>
          <w:sz w:val="24"/>
          <w:szCs w:val="24"/>
          <w:lang w:val="en-US"/>
        </w:rPr>
        <w:t>78%).</w:t>
      </w:r>
    </w:p>
    <w:p w14:paraId="249EDC17" w14:textId="77777777" w:rsidR="00193A64" w:rsidRPr="00EC759A" w:rsidRDefault="00193A64" w:rsidP="00997011">
      <w:pPr>
        <w:spacing w:after="120"/>
        <w:jc w:val="both"/>
        <w:rPr>
          <w:rFonts w:asciiTheme="majorHAnsi" w:hAnsiTheme="majorHAnsi" w:cstheme="majorHAnsi"/>
          <w:color w:val="000000" w:themeColor="text1"/>
          <w:sz w:val="24"/>
          <w:szCs w:val="24"/>
          <w:highlight w:val="white"/>
          <w:lang w:val="en-US"/>
        </w:rPr>
      </w:pPr>
      <w:r w:rsidRPr="00EC759A">
        <w:rPr>
          <w:rFonts w:asciiTheme="majorHAnsi" w:hAnsiTheme="majorHAnsi" w:cstheme="majorHAnsi"/>
          <w:color w:val="000000" w:themeColor="text1"/>
          <w:sz w:val="24"/>
          <w:szCs w:val="24"/>
          <w:lang w:val="en-US"/>
        </w:rPr>
        <w:t xml:space="preserve">However, the working conditions of this population have greater disadvantages than those of the whole country. </w:t>
      </w:r>
      <w:r w:rsidRPr="00EC759A">
        <w:rPr>
          <w:rFonts w:asciiTheme="majorHAnsi" w:hAnsiTheme="majorHAnsi" w:cstheme="majorHAnsi"/>
          <w:color w:val="000000" w:themeColor="text1"/>
          <w:sz w:val="24"/>
          <w:szCs w:val="24"/>
          <w:highlight w:val="white"/>
          <w:lang w:val="en-US"/>
        </w:rPr>
        <w:t>In the Legal Amazon, blacks receive approximately 30% less per hour of work than white people, about 60% of browns and 57% of blacks are in the informal sector, and approximately 70% are employed without a formal contract or working on their own, without contributing to Social Security.</w:t>
      </w:r>
    </w:p>
    <w:p w14:paraId="7D6E338C" w14:textId="77777777" w:rsidR="00193A64" w:rsidRPr="00EC759A" w:rsidRDefault="00193A64" w:rsidP="00997011">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lastRenderedPageBreak/>
        <w:t>They are much less educated than whites, working without a formal contract and receiving lower wages even when they perform similar activities to whites, and it is in this wake that the proportion of poor households in the region is almost 3 times that of the rest of the country</w:t>
      </w:r>
      <w:r w:rsidRPr="00EC759A">
        <w:rPr>
          <w:rStyle w:val="FootnoteReference"/>
          <w:rFonts w:asciiTheme="majorHAnsi" w:hAnsiTheme="majorHAnsi" w:cstheme="majorHAnsi"/>
          <w:color w:val="000000" w:themeColor="text1"/>
          <w:sz w:val="24"/>
          <w:szCs w:val="24"/>
          <w:lang w:val="en-US"/>
        </w:rPr>
        <w:footnoteReference w:id="25"/>
      </w:r>
      <w:r w:rsidRPr="00EC759A">
        <w:rPr>
          <w:rFonts w:asciiTheme="majorHAnsi" w:hAnsiTheme="majorHAnsi" w:cstheme="majorHAnsi"/>
          <w:color w:val="000000" w:themeColor="text1"/>
          <w:sz w:val="24"/>
          <w:szCs w:val="24"/>
          <w:lang w:val="en-US"/>
        </w:rPr>
        <w:t>.</w:t>
      </w:r>
    </w:p>
    <w:p w14:paraId="07BC6FDC" w14:textId="77777777" w:rsidR="00193A64" w:rsidRPr="00EC759A" w:rsidRDefault="00193A64" w:rsidP="00997011">
      <w:pPr>
        <w:spacing w:after="120"/>
        <w:jc w:val="both"/>
        <w:rPr>
          <w:rFonts w:asciiTheme="majorHAnsi" w:hAnsiTheme="majorHAnsi" w:cstheme="majorHAnsi"/>
          <w:color w:val="000000" w:themeColor="text1"/>
          <w:sz w:val="24"/>
          <w:szCs w:val="24"/>
          <w:shd w:val="clear" w:color="auto" w:fill="FEFFFF"/>
          <w:lang w:val="en-US"/>
        </w:rPr>
      </w:pPr>
      <w:r w:rsidRPr="00EC759A">
        <w:rPr>
          <w:rFonts w:asciiTheme="majorHAnsi" w:hAnsiTheme="majorHAnsi" w:cstheme="majorHAnsi"/>
          <w:color w:val="000000" w:themeColor="text1"/>
          <w:sz w:val="24"/>
          <w:szCs w:val="24"/>
          <w:shd w:val="clear" w:color="auto" w:fill="FEFFFF"/>
          <w:lang w:val="en-US"/>
        </w:rPr>
        <w:t>In this context, the main priority is to develop actions that can make the unions economically viable, as essential subjects in the process of monitoring the rights obtained by the new legislation.</w:t>
      </w:r>
    </w:p>
    <w:p w14:paraId="631BF0E9" w14:textId="77777777" w:rsidR="00193A64" w:rsidRPr="00EC759A" w:rsidRDefault="00193A64" w:rsidP="00997011">
      <w:pPr>
        <w:shd w:val="clear" w:color="auto" w:fill="FFFFFF"/>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It is worth remembering that in this region, where the population is mostly black, the rates of exclusion, precariousness in labor relations and food insecurity are higher than in any other region of the country and therefore inseparable elements of the construction of the ideology and actions with a view to decent and fair work.</w:t>
      </w:r>
    </w:p>
    <w:p w14:paraId="41F5F801" w14:textId="77777777" w:rsidR="00193A64" w:rsidRPr="00EC759A" w:rsidRDefault="00193A64" w:rsidP="00997011">
      <w:pPr>
        <w:shd w:val="clear" w:color="auto" w:fill="FFFFFF"/>
        <w:spacing w:after="120"/>
        <w:jc w:val="both"/>
        <w:rPr>
          <w:rFonts w:asciiTheme="majorHAnsi" w:hAnsiTheme="majorHAnsi" w:cstheme="majorHAnsi"/>
          <w:sz w:val="24"/>
          <w:szCs w:val="24"/>
          <w:lang w:val="en-US"/>
        </w:rPr>
      </w:pPr>
      <w:r w:rsidRPr="00EC759A">
        <w:rPr>
          <w:rFonts w:asciiTheme="majorHAnsi" w:hAnsiTheme="majorHAnsi" w:cstheme="majorHAnsi"/>
          <w:color w:val="000000" w:themeColor="text1"/>
          <w:sz w:val="24"/>
          <w:szCs w:val="24"/>
          <w:lang w:val="en-US"/>
        </w:rPr>
        <w:t xml:space="preserve">The creation of good opportunities for training and qualified insertion in the labor market, especially for young people, can be one of the relevant challenges that the region </w:t>
      </w:r>
      <w:r w:rsidRPr="00EC759A">
        <w:rPr>
          <w:rFonts w:asciiTheme="majorHAnsi" w:hAnsiTheme="majorHAnsi" w:cstheme="majorHAnsi"/>
          <w:sz w:val="24"/>
          <w:szCs w:val="24"/>
          <w:lang w:val="en-US"/>
        </w:rPr>
        <w:t>will face to achieve a higher level of economic and human development and achieve the sustainable use of natural resources.</w:t>
      </w:r>
    </w:p>
    <w:p w14:paraId="143824A5" w14:textId="77777777" w:rsidR="00193A64" w:rsidRPr="00EC759A" w:rsidRDefault="00193A64" w:rsidP="00997011">
      <w:pPr>
        <w:shd w:val="clear" w:color="auto" w:fill="FFFFFF"/>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Therefore, public policies focused on the training of youth for insertion and ascension in the labor market are urgent. It is in this sense that measures to qualify labor relations, while contemplating the confrontation of inequalities of class, racial, gender, age, region, are welcome.</w:t>
      </w:r>
    </w:p>
    <w:p w14:paraId="48E27F18" w14:textId="77777777" w:rsidR="00193A64" w:rsidRPr="00EC759A" w:rsidRDefault="00193A64" w:rsidP="00997011">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Here it is worth highlighting a new study by the Brazilian Institute of Geography and Statistics (IBGE) released on 08/25, 2023, which evaluated people with some degree of poverty in six dimensions: housing, access to public utility services, health and food, education, access to financial services and standard of living, and transportation and leisure. The research indicates a maintenance of structural inequalities, both with regard to comparisons between the urban and rural population and the racial cut, and it is possible to verify that the differences between the groups have changed little.</w:t>
      </w:r>
    </w:p>
    <w:p w14:paraId="760FCAFB" w14:textId="5F203727" w:rsidR="00193A64" w:rsidRPr="00EC759A" w:rsidRDefault="00193A64" w:rsidP="003A646D">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This is how the struggle for better working conditions has to be continued, but it must be recognized that it has taken some encouraging steps in the recent regulations that we highlight below:</w:t>
      </w:r>
    </w:p>
    <w:p w14:paraId="56EB0408" w14:textId="77777777" w:rsidR="00193A64" w:rsidRPr="00EC759A" w:rsidRDefault="00193A64" w:rsidP="003A646D">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The first of these was the approval by the Chamber of Deputies of the Bill that makes mandatory the equal pay between men and women when they perform activities of equal value or same function, including in the context the increase of supervision and fine in case of non-compliance;</w:t>
      </w:r>
    </w:p>
    <w:p w14:paraId="110682B2" w14:textId="77777777" w:rsidR="00193A64" w:rsidRPr="00EC759A" w:rsidRDefault="00193A64" w:rsidP="003A646D">
      <w:pPr>
        <w:spacing w:after="120"/>
        <w:jc w:val="both"/>
        <w:rPr>
          <w:rFonts w:asciiTheme="majorHAnsi" w:hAnsiTheme="majorHAnsi" w:cstheme="majorHAnsi"/>
          <w:color w:val="000000" w:themeColor="text1"/>
          <w:sz w:val="24"/>
          <w:szCs w:val="24"/>
          <w:highlight w:val="white"/>
          <w:lang w:val="en-US"/>
        </w:rPr>
      </w:pPr>
      <w:r w:rsidRPr="00EC759A">
        <w:rPr>
          <w:rFonts w:asciiTheme="majorHAnsi" w:hAnsiTheme="majorHAnsi" w:cstheme="majorHAnsi"/>
          <w:color w:val="000000" w:themeColor="text1"/>
          <w:sz w:val="24"/>
          <w:szCs w:val="24"/>
          <w:highlight w:val="white"/>
          <w:lang w:val="en-US"/>
        </w:rPr>
        <w:t xml:space="preserve">The policy of valuing the minimum wage agreed in the document "Pauta da Classe Operária" (Working Class Agenda), between the trade union centrals and the Presidency of the Republic, </w:t>
      </w:r>
      <w:r w:rsidRPr="00EC759A">
        <w:rPr>
          <w:rFonts w:asciiTheme="majorHAnsi" w:hAnsiTheme="majorHAnsi" w:cstheme="majorHAnsi"/>
          <w:color w:val="000000" w:themeColor="text1"/>
          <w:sz w:val="24"/>
          <w:szCs w:val="24"/>
          <w:highlight w:val="white"/>
          <w:lang w:val="en-US"/>
        </w:rPr>
        <w:lastRenderedPageBreak/>
        <w:t>remembering here that women and blacks are the ones who have the most remuneration linked to the minimum wage;</w:t>
      </w:r>
    </w:p>
    <w:p w14:paraId="41D0ADB2" w14:textId="77777777" w:rsidR="00193A64" w:rsidRPr="00EC759A" w:rsidRDefault="00193A64" w:rsidP="003A646D">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 xml:space="preserve">The inclusion of information on ethnic-racial belonging in administrative records directed to employers and workers in the private and public sectors, aiming to subsidize public policies, sanctioned by the federal government; </w:t>
      </w:r>
    </w:p>
    <w:p w14:paraId="7DA466FE" w14:textId="77777777" w:rsidR="00193A64" w:rsidRPr="00EC759A" w:rsidRDefault="00193A64" w:rsidP="003A646D">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 xml:space="preserve">The reservation of up to 30% of vacancies for black people in commission positions and functions of trust in the structure of the Executive Branch, including direct administration, autarchies and foundations, announced by the federal government; </w:t>
      </w:r>
    </w:p>
    <w:p w14:paraId="27101C9B" w14:textId="74ABC5A1" w:rsidR="00193A64" w:rsidRPr="00EC759A" w:rsidRDefault="00193A64" w:rsidP="003A646D">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The reservation of 10% of job vacancies by the National Employment System (Sine) for women victims of domestic or family violence, approved by the Chamber of Deputies.</w:t>
      </w:r>
    </w:p>
    <w:p w14:paraId="0D64FCCF" w14:textId="179628C1" w:rsidR="00802579" w:rsidRPr="00EC759A" w:rsidRDefault="00193A64" w:rsidP="00802579">
      <w:pPr>
        <w:spacing w:after="120"/>
        <w:jc w:val="both"/>
        <w:rPr>
          <w:rFonts w:asciiTheme="majorHAnsi" w:hAnsiTheme="majorHAnsi" w:cstheme="majorHAnsi"/>
          <w:color w:val="000000" w:themeColor="text1"/>
          <w:sz w:val="24"/>
          <w:szCs w:val="24"/>
          <w:lang w:val="en-US"/>
        </w:rPr>
      </w:pPr>
      <w:r w:rsidRPr="00EC759A">
        <w:rPr>
          <w:rFonts w:asciiTheme="majorHAnsi" w:hAnsiTheme="majorHAnsi" w:cstheme="majorHAnsi"/>
          <w:color w:val="000000" w:themeColor="text1"/>
          <w:sz w:val="24"/>
          <w:szCs w:val="24"/>
          <w:lang w:val="en-US"/>
        </w:rPr>
        <w:t>There is no doubt about the long journey ahead of to make working relationships more dignified, just and egalitarian. But there is also no doubt that the journey has resumed. It is essential that governments develop, at this stage, a plan for the implementation of public policies, with deadlines, goals and metrics that enable the monitoring of their impact on the reduction of inequalities so that we achieve, in fact, the right to fair and dignified work for the entire Brazilian population, in particular for the most vulnerable groups.</w:t>
      </w:r>
    </w:p>
    <w:p w14:paraId="69DE9D46" w14:textId="15E37B8B" w:rsidR="00193A64" w:rsidRPr="00EC759A" w:rsidRDefault="00193A64" w:rsidP="00D20468">
      <w:pPr>
        <w:pStyle w:val="Heading1"/>
        <w:rPr>
          <w:rFonts w:asciiTheme="majorHAnsi" w:hAnsiTheme="majorHAnsi" w:cstheme="majorHAnsi"/>
          <w:lang w:val="en-US"/>
        </w:rPr>
      </w:pPr>
      <w:bookmarkStart w:id="9" w:name="_Toc145507626"/>
      <w:r w:rsidRPr="00EC759A">
        <w:rPr>
          <w:rFonts w:asciiTheme="majorHAnsi" w:hAnsiTheme="majorHAnsi" w:cstheme="majorHAnsi"/>
          <w:lang w:val="en-US"/>
        </w:rPr>
        <w:t>4 - Article 10</w:t>
      </w:r>
      <w:r w:rsidR="00D20468" w:rsidRPr="00EC759A">
        <w:rPr>
          <w:rFonts w:asciiTheme="majorHAnsi" w:hAnsiTheme="majorHAnsi" w:cstheme="majorHAnsi"/>
          <w:lang w:val="en-US"/>
        </w:rPr>
        <w:t xml:space="preserve"> ICESCR</w:t>
      </w:r>
      <w:r w:rsidRPr="00EC759A">
        <w:rPr>
          <w:rFonts w:asciiTheme="majorHAnsi" w:hAnsiTheme="majorHAnsi" w:cstheme="majorHAnsi"/>
          <w:lang w:val="en-US"/>
        </w:rPr>
        <w:t>: Protection of the Family</w:t>
      </w:r>
      <w:bookmarkEnd w:id="9"/>
    </w:p>
    <w:p w14:paraId="1C446657" w14:textId="243F10D2" w:rsidR="00193A64" w:rsidRPr="00EC759A" w:rsidRDefault="00193A64" w:rsidP="000342CF">
      <w:pPr>
        <w:spacing w:after="120"/>
        <w:jc w:val="both"/>
        <w:rPr>
          <w:rFonts w:asciiTheme="majorHAnsi" w:eastAsia="Calibri" w:hAnsiTheme="majorHAnsi" w:cstheme="majorHAnsi"/>
          <w:sz w:val="24"/>
          <w:szCs w:val="24"/>
          <w:highlight w:val="white"/>
          <w:lang w:val="en-US"/>
        </w:rPr>
      </w:pPr>
      <w:r w:rsidRPr="00EC759A">
        <w:rPr>
          <w:rFonts w:asciiTheme="majorHAnsi" w:eastAsia="Calibri" w:hAnsiTheme="majorHAnsi" w:cstheme="majorHAnsi"/>
          <w:sz w:val="24"/>
          <w:szCs w:val="24"/>
          <w:highlight w:val="white"/>
          <w:lang w:val="en-US"/>
        </w:rPr>
        <w:t>The Brazilian reality about child marriage and early union is worrying. According to UNICEF data</w:t>
      </w:r>
      <w:r w:rsidRPr="00EC759A">
        <w:rPr>
          <w:rFonts w:asciiTheme="majorHAnsi" w:eastAsia="Calibri" w:hAnsiTheme="majorHAnsi" w:cstheme="majorHAnsi"/>
          <w:sz w:val="24"/>
          <w:szCs w:val="24"/>
          <w:highlight w:val="white"/>
          <w:vertAlign w:val="superscript"/>
          <w:lang w:val="en-US"/>
        </w:rPr>
        <w:footnoteReference w:id="26"/>
      </w:r>
      <w:r w:rsidRPr="00EC759A">
        <w:rPr>
          <w:rFonts w:asciiTheme="majorHAnsi" w:eastAsia="Calibri" w:hAnsiTheme="majorHAnsi" w:cstheme="majorHAnsi"/>
          <w:sz w:val="24"/>
          <w:szCs w:val="24"/>
          <w:highlight w:val="white"/>
          <w:lang w:val="en-US"/>
        </w:rPr>
        <w:t>, in absolute numbers, Brazil is the fourth country in the world with the most child marriages: 3.5 million women of all ages married before the age of 15 and 21.6 million before the age of 18, the majority in informal unions with older men, representing one in four women. Considering formal unions, 2019 statistics presented by IBGE</w:t>
      </w:r>
      <w:r w:rsidRPr="00EC759A">
        <w:rPr>
          <w:rFonts w:asciiTheme="majorHAnsi" w:eastAsia="Calibri" w:hAnsiTheme="majorHAnsi" w:cstheme="majorHAnsi"/>
          <w:sz w:val="24"/>
          <w:szCs w:val="24"/>
          <w:highlight w:val="white"/>
          <w:vertAlign w:val="superscript"/>
          <w:lang w:val="en-US"/>
        </w:rPr>
        <w:footnoteReference w:id="27"/>
      </w:r>
      <w:r w:rsidRPr="00EC759A">
        <w:rPr>
          <w:rFonts w:asciiTheme="majorHAnsi" w:eastAsia="Calibri" w:hAnsiTheme="majorHAnsi" w:cstheme="majorHAnsi"/>
          <w:sz w:val="24"/>
          <w:szCs w:val="24"/>
          <w:highlight w:val="white"/>
          <w:lang w:val="en-US"/>
        </w:rPr>
        <w:t xml:space="preserve"> indicate that 21,769 marriages were performed with female spouses up to 17 years of age, 2.1% of the total marriages of that year; male spouses up to 17 years of age represented 0.2% of the total, indicating that it is a gendered phenomenon. These data are reinforced by a recent study</w:t>
      </w:r>
      <w:r w:rsidRPr="00EC759A">
        <w:rPr>
          <w:rFonts w:asciiTheme="majorHAnsi" w:eastAsia="Calibri" w:hAnsiTheme="majorHAnsi" w:cstheme="majorHAnsi"/>
          <w:sz w:val="24"/>
          <w:szCs w:val="24"/>
          <w:highlight w:val="white"/>
          <w:vertAlign w:val="superscript"/>
          <w:lang w:val="en-US"/>
        </w:rPr>
        <w:footnoteReference w:id="28"/>
      </w:r>
      <w:r w:rsidRPr="00EC759A">
        <w:rPr>
          <w:rFonts w:asciiTheme="majorHAnsi" w:eastAsia="Calibri" w:hAnsiTheme="majorHAnsi" w:cstheme="majorHAnsi"/>
          <w:sz w:val="24"/>
          <w:szCs w:val="24"/>
          <w:highlight w:val="white"/>
          <w:lang w:val="en-US"/>
        </w:rPr>
        <w:t xml:space="preserve"> that, based on the Information System on Live Births (SINASC) of the Unified Health System (DATASUS), identified between 2008 and 2019, 6,118,205 children and adolescents becoming mothers. Girls aged 10 to 14 were 296,959. Of these, 17.5% were declared to be in a consensual union, being 12.64% white, 14.84% black, 18.78% brown and 31.25% indigenous. In the age group of 15 to 19 years, there were 5,821,246, </w:t>
      </w:r>
      <w:r w:rsidRPr="00EC759A">
        <w:rPr>
          <w:rFonts w:asciiTheme="majorHAnsi" w:eastAsia="Calibri" w:hAnsiTheme="majorHAnsi" w:cstheme="majorHAnsi"/>
          <w:sz w:val="24"/>
          <w:szCs w:val="24"/>
          <w:highlight w:val="white"/>
          <w:lang w:val="en-US"/>
        </w:rPr>
        <w:lastRenderedPageBreak/>
        <w:t>of which 30% were married or in a consensual relationship, being 27.85% white, 25.59% black, 31.11% brown and 42.67% indigenous. In addition to being a gender issue, child marriage is also a race issue.</w:t>
      </w:r>
    </w:p>
    <w:p w14:paraId="0716DE44" w14:textId="77777777" w:rsidR="00193A64" w:rsidRPr="00EC759A" w:rsidRDefault="00193A64" w:rsidP="000342CF">
      <w:pPr>
        <w:spacing w:after="120"/>
        <w:jc w:val="both"/>
        <w:rPr>
          <w:rFonts w:asciiTheme="majorHAnsi" w:hAnsiTheme="majorHAnsi" w:cstheme="majorHAnsi"/>
          <w:sz w:val="24"/>
          <w:szCs w:val="24"/>
          <w:highlight w:val="white"/>
          <w:lang w:val="en-US"/>
        </w:rPr>
      </w:pPr>
      <w:r w:rsidRPr="00EC759A">
        <w:rPr>
          <w:rFonts w:asciiTheme="majorHAnsi" w:eastAsia="Calibri" w:hAnsiTheme="majorHAnsi" w:cstheme="majorHAnsi"/>
          <w:sz w:val="24"/>
          <w:szCs w:val="24"/>
          <w:highlight w:val="white"/>
          <w:lang w:val="en-US"/>
        </w:rPr>
        <w:t>The Civil Code, in its article 1.517, defines that marriage is allowed for people over 18 years of age, but opens a loophole: "the man and the woman with sixteen years of age may marry, requiring authorization from both parents, or their legal representatives, until reaching the age of civil majority." Moreover, until 2019, when Law 13,811</w:t>
      </w:r>
      <w:r w:rsidRPr="00EC759A">
        <w:rPr>
          <w:rFonts w:asciiTheme="majorHAnsi" w:eastAsia="Calibri" w:hAnsiTheme="majorHAnsi" w:cstheme="majorHAnsi"/>
          <w:sz w:val="24"/>
          <w:szCs w:val="24"/>
          <w:highlight w:val="white"/>
          <w:vertAlign w:val="superscript"/>
          <w:lang w:val="en-US"/>
        </w:rPr>
        <w:footnoteReference w:id="29"/>
      </w:r>
      <w:r w:rsidRPr="00EC759A">
        <w:rPr>
          <w:rFonts w:asciiTheme="majorHAnsi" w:eastAsia="Calibri" w:hAnsiTheme="majorHAnsi" w:cstheme="majorHAnsi"/>
          <w:sz w:val="24"/>
          <w:szCs w:val="24"/>
          <w:highlight w:val="white"/>
          <w:lang w:val="en-US"/>
        </w:rPr>
        <w:t xml:space="preserve"> expressly prohibited the marriage of minors under 16 years of age, article 1,520 was also in force, which provided for exceptionality for permission to "marry those who have not yet reached the marriageable age to avoid imposition or fulfillment of criminal penalty [for rape of a minor</w:t>
      </w:r>
      <w:r w:rsidRPr="00EC759A">
        <w:rPr>
          <w:rFonts w:asciiTheme="majorHAnsi" w:eastAsia="Calibri" w:hAnsiTheme="majorHAnsi" w:cstheme="majorHAnsi"/>
          <w:sz w:val="24"/>
          <w:szCs w:val="24"/>
          <w:highlight w:val="white"/>
          <w:vertAlign w:val="superscript"/>
          <w:lang w:val="en-US"/>
        </w:rPr>
        <w:footnoteReference w:id="30"/>
      </w:r>
      <w:r w:rsidRPr="00EC759A">
        <w:rPr>
          <w:rFonts w:asciiTheme="majorHAnsi" w:eastAsia="Calibri" w:hAnsiTheme="majorHAnsi" w:cstheme="majorHAnsi"/>
          <w:sz w:val="24"/>
          <w:szCs w:val="24"/>
          <w:highlight w:val="white"/>
          <w:lang w:val="en-US"/>
        </w:rPr>
        <w:t>] or in case of pregnancy." Despite the legislation, since 2019, to restrict marriage before the age of 16, it does not deal with situations of informal union, as well as, it continues to allow, albeit with a condition, the marriage of adolescents aged 16 and 17, a situation that especially affects girls, even violating the Convention on the Rights of the Child.</w:t>
      </w:r>
    </w:p>
    <w:p w14:paraId="4920AD3A" w14:textId="53E9D9AF" w:rsidR="00193A64" w:rsidRPr="00EC759A" w:rsidRDefault="00193A64" w:rsidP="00D20468">
      <w:pPr>
        <w:pStyle w:val="Heading1"/>
        <w:rPr>
          <w:rFonts w:asciiTheme="majorHAnsi" w:hAnsiTheme="majorHAnsi" w:cstheme="majorHAnsi"/>
          <w:highlight w:val="white"/>
          <w:lang w:val="en-US"/>
        </w:rPr>
      </w:pPr>
      <w:bookmarkStart w:id="10" w:name="_Toc145507627"/>
      <w:r w:rsidRPr="00EC759A">
        <w:rPr>
          <w:rFonts w:asciiTheme="majorHAnsi" w:hAnsiTheme="majorHAnsi" w:cstheme="majorHAnsi"/>
          <w:highlight w:val="white"/>
          <w:lang w:val="en-US"/>
        </w:rPr>
        <w:t>5 - Article 13</w:t>
      </w:r>
      <w:r w:rsidR="00D20468" w:rsidRPr="00EC759A">
        <w:rPr>
          <w:rFonts w:asciiTheme="majorHAnsi" w:hAnsiTheme="majorHAnsi" w:cstheme="majorHAnsi"/>
          <w:highlight w:val="white"/>
          <w:lang w:val="en-US"/>
        </w:rPr>
        <w:t xml:space="preserve"> ICESCR</w:t>
      </w:r>
      <w:r w:rsidRPr="00EC759A">
        <w:rPr>
          <w:rFonts w:asciiTheme="majorHAnsi" w:hAnsiTheme="majorHAnsi" w:cstheme="majorHAnsi"/>
          <w:highlight w:val="white"/>
          <w:lang w:val="en-US"/>
        </w:rPr>
        <w:t>: Right to Education</w:t>
      </w:r>
      <w:bookmarkEnd w:id="10"/>
    </w:p>
    <w:p w14:paraId="05A25EE5" w14:textId="120A7C8B" w:rsidR="00193A64" w:rsidRPr="00EC759A" w:rsidRDefault="00193A64" w:rsidP="00BD26DC">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With regard to Higher Education, a series of public access policies have been promoted in Brazil, aiming to expand and democratize admission to universities. The Prouni (University for All Program</w:t>
      </w:r>
      <w:r w:rsidRPr="00EC759A">
        <w:rPr>
          <w:rFonts w:asciiTheme="majorHAnsi" w:hAnsiTheme="majorHAnsi" w:cstheme="majorHAnsi"/>
          <w:sz w:val="24"/>
          <w:szCs w:val="24"/>
          <w:highlight w:val="white"/>
          <w:vertAlign w:val="superscript"/>
          <w:lang w:val="en-US"/>
        </w:rPr>
        <w:footnoteReference w:id="31"/>
      </w:r>
      <w:r w:rsidRPr="00EC759A">
        <w:rPr>
          <w:rFonts w:asciiTheme="majorHAnsi" w:hAnsiTheme="majorHAnsi" w:cstheme="majorHAnsi"/>
          <w:sz w:val="24"/>
          <w:szCs w:val="24"/>
          <w:highlight w:val="white"/>
          <w:lang w:val="en-US"/>
        </w:rPr>
        <w:t>) instituted in 2005, the  SISU (Unified Selection System</w:t>
      </w:r>
      <w:r w:rsidRPr="00EC759A">
        <w:rPr>
          <w:rFonts w:asciiTheme="majorHAnsi" w:hAnsiTheme="majorHAnsi" w:cstheme="majorHAnsi"/>
          <w:sz w:val="24"/>
          <w:szCs w:val="24"/>
          <w:highlight w:val="white"/>
          <w:vertAlign w:val="superscript"/>
          <w:lang w:val="en-US"/>
        </w:rPr>
        <w:footnoteReference w:id="32"/>
      </w:r>
      <w:r w:rsidRPr="00EC759A">
        <w:rPr>
          <w:rFonts w:asciiTheme="majorHAnsi" w:hAnsiTheme="majorHAnsi" w:cstheme="majorHAnsi"/>
          <w:sz w:val="24"/>
          <w:szCs w:val="24"/>
          <w:highlight w:val="white"/>
          <w:lang w:val="en-US"/>
        </w:rPr>
        <w:t>) established in 2010, by the Ministry of Education, the FIES (Fund for Financing Higher Education Students)</w:t>
      </w:r>
      <w:r w:rsidRPr="00EC759A">
        <w:rPr>
          <w:rFonts w:asciiTheme="majorHAnsi" w:hAnsiTheme="majorHAnsi" w:cstheme="majorHAnsi"/>
          <w:sz w:val="24"/>
          <w:szCs w:val="24"/>
          <w:highlight w:val="white"/>
          <w:vertAlign w:val="superscript"/>
          <w:lang w:val="en-US"/>
        </w:rPr>
        <w:footnoteReference w:id="33"/>
      </w:r>
      <w:r w:rsidRPr="00EC759A">
        <w:rPr>
          <w:rFonts w:asciiTheme="majorHAnsi" w:hAnsiTheme="majorHAnsi" w:cstheme="majorHAnsi"/>
          <w:sz w:val="24"/>
          <w:szCs w:val="24"/>
          <w:highlight w:val="white"/>
          <w:lang w:val="en-US"/>
        </w:rPr>
        <w:t xml:space="preserve"> reformulated in 2001 and the  implementation of the Quota Law in 2012</w:t>
      </w:r>
      <w:r w:rsidRPr="00EC759A">
        <w:rPr>
          <w:rFonts w:asciiTheme="majorHAnsi" w:hAnsiTheme="majorHAnsi" w:cstheme="majorHAnsi"/>
          <w:sz w:val="24"/>
          <w:szCs w:val="24"/>
          <w:highlight w:val="white"/>
          <w:vertAlign w:val="superscript"/>
          <w:lang w:val="en-US"/>
        </w:rPr>
        <w:footnoteReference w:id="34"/>
      </w:r>
      <w:r w:rsidRPr="00EC759A">
        <w:rPr>
          <w:rFonts w:asciiTheme="majorHAnsi" w:hAnsiTheme="majorHAnsi" w:cstheme="majorHAnsi"/>
          <w:sz w:val="24"/>
          <w:szCs w:val="24"/>
          <w:highlight w:val="white"/>
          <w:lang w:val="en-US"/>
        </w:rPr>
        <w:t>,  promoted a significant and representative increase of low-income, black and indigenous people in the student chairs of undergraduate courses,  however, still with few impacts on employability and with few effects on graduate courses</w:t>
      </w:r>
      <w:r w:rsidRPr="00EC759A">
        <w:rPr>
          <w:rFonts w:asciiTheme="majorHAnsi" w:hAnsiTheme="majorHAnsi" w:cstheme="majorHAnsi"/>
          <w:sz w:val="24"/>
          <w:szCs w:val="24"/>
          <w:highlight w:val="white"/>
          <w:vertAlign w:val="superscript"/>
          <w:lang w:val="en-US"/>
        </w:rPr>
        <w:footnoteReference w:id="35"/>
      </w:r>
      <w:r w:rsidRPr="00EC759A">
        <w:rPr>
          <w:rFonts w:asciiTheme="majorHAnsi" w:hAnsiTheme="majorHAnsi" w:cstheme="majorHAnsi"/>
          <w:sz w:val="24"/>
          <w:szCs w:val="24"/>
          <w:highlight w:val="white"/>
          <w:lang w:val="en-US"/>
        </w:rPr>
        <w:t>.</w:t>
      </w:r>
    </w:p>
    <w:p w14:paraId="411F1BFB" w14:textId="68F2D97A" w:rsidR="00193A64" w:rsidRPr="00EC759A" w:rsidRDefault="00193A64" w:rsidP="00BD26DC">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 xml:space="preserve">Data from the 2018 Higher Education Census show that between the years 2007 to 2017, the number of enrollments increased by 56.4%, as well as the increase in the number of vacancies, and the expansion of new public and/or private institutions, the latter having an increase of 76% </w:t>
      </w:r>
      <w:r w:rsidRPr="00EC759A">
        <w:rPr>
          <w:rFonts w:asciiTheme="majorHAnsi" w:hAnsiTheme="majorHAnsi" w:cstheme="majorHAnsi"/>
          <w:sz w:val="24"/>
          <w:szCs w:val="24"/>
          <w:highlight w:val="white"/>
          <w:lang w:val="en-US"/>
        </w:rPr>
        <w:lastRenderedPageBreak/>
        <w:t>between the years 2001 to 2017. However, despite the growing expansion and access to higher education for the general population, the students’ composition still remains mostly white, when we make a comparative analysis of enrolled, between the period of 2001 to 2015, the proportion of blacks went from 21.9% to 43.7%, while the proportion of white people went from 76.8% to 55.4%,  in the same period</w:t>
      </w:r>
      <w:r w:rsidRPr="00EC759A">
        <w:rPr>
          <w:rFonts w:asciiTheme="majorHAnsi" w:hAnsiTheme="majorHAnsi" w:cstheme="majorHAnsi"/>
          <w:sz w:val="24"/>
          <w:szCs w:val="24"/>
          <w:highlight w:val="white"/>
          <w:vertAlign w:val="superscript"/>
          <w:lang w:val="en-US"/>
        </w:rPr>
        <w:footnoteReference w:id="36"/>
      </w:r>
      <w:r w:rsidRPr="00EC759A">
        <w:rPr>
          <w:rFonts w:asciiTheme="majorHAnsi" w:hAnsiTheme="majorHAnsi" w:cstheme="majorHAnsi"/>
          <w:sz w:val="24"/>
          <w:szCs w:val="24"/>
          <w:highlight w:val="white"/>
          <w:lang w:val="en-US"/>
        </w:rPr>
        <w:t xml:space="preserve">. </w:t>
      </w:r>
    </w:p>
    <w:p w14:paraId="61814D24" w14:textId="5914321D" w:rsidR="00193A64" w:rsidRPr="00EC759A" w:rsidRDefault="00193A64" w:rsidP="00BD26DC">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The survey conducted by IPEA (Institute of Applied Economic Research) in 2020, shows that 18% of young blacks between 18 and 24 years old were attending an undergraduate degree, compared to 36% of young whites in the same age group, indicating that the advances were important, however, the inequality of access and permanence is still large. Regarding the completion of graduation, 22.9% of white people over 25 years of age had their graduation completed, while black people only 9.3%.</w:t>
      </w:r>
      <w:r w:rsidR="008A11B3" w:rsidRPr="00EC759A">
        <w:rPr>
          <w:rFonts w:asciiTheme="majorHAnsi" w:hAnsiTheme="majorHAnsi" w:cstheme="majorHAnsi"/>
          <w:sz w:val="24"/>
          <w:szCs w:val="24"/>
          <w:highlight w:val="white"/>
          <w:vertAlign w:val="superscript"/>
          <w:lang w:val="en-US"/>
        </w:rPr>
        <w:t>35</w:t>
      </w:r>
    </w:p>
    <w:p w14:paraId="38793991" w14:textId="77777777" w:rsidR="00193A64" w:rsidRPr="00EC759A" w:rsidRDefault="00193A64" w:rsidP="00BD26DC">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When thinking about student composition in graduate programs, the numbers further indicate the glaring inequality. According to the survey with data from the Coordination for the Improvement of Higher Education Personnel (CAPES), in 2020, among the 80,115 people who graduated masters and doctors with information on race, 30,818 (38.5%) were white, 9,909 (12.3%) mulatto, 2,746 (3.4%) black, 508 yellow (0.6%) and 154 (0.2%) indigenous.</w:t>
      </w:r>
      <w:r w:rsidRPr="00EC759A">
        <w:rPr>
          <w:rFonts w:asciiTheme="majorHAnsi" w:hAnsiTheme="majorHAnsi" w:cstheme="majorHAnsi"/>
          <w:sz w:val="24"/>
          <w:szCs w:val="24"/>
          <w:highlight w:val="white"/>
          <w:vertAlign w:val="superscript"/>
          <w:lang w:val="en-US"/>
        </w:rPr>
        <w:footnoteReference w:id="37"/>
      </w:r>
      <w:r w:rsidRPr="00EC759A">
        <w:rPr>
          <w:rFonts w:asciiTheme="majorHAnsi" w:hAnsiTheme="majorHAnsi" w:cstheme="majorHAnsi"/>
          <w:sz w:val="24"/>
          <w:szCs w:val="24"/>
          <w:highlight w:val="white"/>
          <w:lang w:val="en-US"/>
        </w:rPr>
        <w:t xml:space="preserve"> The discrepancies are also evident in the faculty of higher education institutions. Data from the Higher Education Census indicate that 53.79% of the people in this group were male, 76.67% white.</w:t>
      </w:r>
      <w:r w:rsidRPr="00EC759A">
        <w:rPr>
          <w:rFonts w:asciiTheme="majorHAnsi" w:hAnsiTheme="majorHAnsi" w:cstheme="majorHAnsi"/>
          <w:sz w:val="24"/>
          <w:szCs w:val="24"/>
          <w:highlight w:val="white"/>
          <w:vertAlign w:val="superscript"/>
          <w:lang w:val="en-US"/>
        </w:rPr>
        <w:footnoteReference w:id="38"/>
      </w:r>
    </w:p>
    <w:p w14:paraId="30AA0EEA" w14:textId="77777777" w:rsidR="008A11B3" w:rsidRPr="00EC759A" w:rsidRDefault="008A11B3" w:rsidP="00263DBE">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It is evident the need for universities to offer also and especially necessary conditions of permanence, since admission is only the first barrier trodden. These conditions imply not only financial elements, such as scholarships, housing aids, food and displacement, but also changes in internal logics that allow us to truly see the differentiated conditions of social/historical/cultural origin of these audiences that arrive at the university: their formative repertoires, their knowledge, their professional experiences and the dialogue of all this with the university,  its structure and academic knowledge. If access to higher education is still unequal, these characteristics intensify at the highest levels of the university career, where the number of black and non-white graduate students and professors is considerably lower.</w:t>
      </w:r>
    </w:p>
    <w:p w14:paraId="07A9BA44" w14:textId="77777777" w:rsidR="008A11B3" w:rsidRPr="00EC759A" w:rsidRDefault="008A11B3" w:rsidP="00263DBE">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lastRenderedPageBreak/>
        <w:t>The difficulty of access to education reflects the lack of black or indigenous people in places of power and leadership. In this sense, even if they have the opportunity to enter a university, they will still have many closed doors in society.</w:t>
      </w:r>
    </w:p>
    <w:p w14:paraId="628F4605" w14:textId="77777777" w:rsidR="008A11B3" w:rsidRPr="00EC759A" w:rsidRDefault="008A11B3" w:rsidP="00263DBE">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 xml:space="preserve">The realization of a social transformation and curbing racism starts from the expansion of admission and guarantee of permanence in the undergraduate and graduate programs of non-white people, which will enable them to occupy positions of power, public and management, decision-making spaces for the implementation of real, fair and equitable public policies. </w:t>
      </w:r>
    </w:p>
    <w:p w14:paraId="070AF324" w14:textId="21A4E747" w:rsidR="008A11B3" w:rsidRPr="00EC759A" w:rsidRDefault="008A11B3" w:rsidP="00263DBE">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Therefore, in order to have in academia new occupants, there is a need to contribute to the deconstruction of structural, social, and  racism. This, however, also demands to think of new spaces and forms of organization of daily life so that the experience of occupying the university is marked by exchange and social justice, and not by the perpetuation of violence and policies of silencing and invisibility.</w:t>
      </w:r>
    </w:p>
    <w:p w14:paraId="5FE99312" w14:textId="77777777" w:rsidR="008A11B3" w:rsidRPr="00EC759A" w:rsidRDefault="008A11B3" w:rsidP="00DD354A">
      <w:pPr>
        <w:spacing w:after="120"/>
        <w:rPr>
          <w:rFonts w:asciiTheme="majorHAnsi" w:hAnsiTheme="majorHAnsi" w:cstheme="majorHAnsi"/>
          <w:sz w:val="24"/>
          <w:szCs w:val="24"/>
          <w:u w:val="single"/>
          <w:lang w:val="en-US"/>
        </w:rPr>
      </w:pPr>
    </w:p>
    <w:p w14:paraId="1EBC0E34" w14:textId="43BFAA2F" w:rsidR="008A11B3" w:rsidRPr="00EC759A" w:rsidRDefault="008A11B3" w:rsidP="00D20468">
      <w:pPr>
        <w:pStyle w:val="Heading1"/>
        <w:rPr>
          <w:rFonts w:asciiTheme="majorHAnsi" w:hAnsiTheme="majorHAnsi" w:cstheme="majorHAnsi"/>
          <w:lang w:val="en-US"/>
        </w:rPr>
      </w:pPr>
      <w:bookmarkStart w:id="11" w:name="_Toc145507628"/>
      <w:r w:rsidRPr="00EC759A">
        <w:rPr>
          <w:rFonts w:asciiTheme="majorHAnsi" w:hAnsiTheme="majorHAnsi" w:cstheme="majorHAnsi"/>
          <w:lang w:val="en-US"/>
        </w:rPr>
        <w:t>6 - ARTICLE 15</w:t>
      </w:r>
      <w:r w:rsidR="00D20468" w:rsidRPr="00EC759A">
        <w:rPr>
          <w:rFonts w:asciiTheme="majorHAnsi" w:hAnsiTheme="majorHAnsi" w:cstheme="majorHAnsi"/>
          <w:lang w:val="en-US"/>
        </w:rPr>
        <w:t xml:space="preserve"> ICESCR</w:t>
      </w:r>
      <w:r w:rsidRPr="00EC759A">
        <w:rPr>
          <w:rFonts w:asciiTheme="majorHAnsi" w:hAnsiTheme="majorHAnsi" w:cstheme="majorHAnsi"/>
          <w:lang w:val="en-US"/>
        </w:rPr>
        <w:t>: Right to Culture</w:t>
      </w:r>
      <w:bookmarkEnd w:id="11"/>
    </w:p>
    <w:p w14:paraId="2F79B39D" w14:textId="6E0DFCBA" w:rsidR="008A11B3" w:rsidRPr="00EC759A" w:rsidRDefault="008A11B3" w:rsidP="00DD354A">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The Bolsonaro government (2019-2022) was marked by the attack on culture and the dismantling of the relevant support policies. The Ministry of Culture was abolished, and cultural policies were under the competence of an under graded a Secretariat, first linked to the Ministry of Citizenship and later of Tourism, with physical structure and staff dismantled and reduced.</w:t>
      </w:r>
    </w:p>
    <w:p w14:paraId="6AEC55E4" w14:textId="77777777" w:rsidR="008A11B3" w:rsidRPr="00EC759A" w:rsidRDefault="008A11B3" w:rsidP="00DD354A">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 xml:space="preserve"> The Rouanet Law – the main mechanism for financing culture until then – was plastered with: the creation of unconstitutional norms, non-compliance with deadlines; granting exceptional powers to the Secretary, hollowing out the CNIC; and exclusion of funding for the maintenance of museums and cultural centers; among other measures, generating a 50% reduction in approved projects.</w:t>
      </w:r>
    </w:p>
    <w:p w14:paraId="07A7ED17" w14:textId="77777777" w:rsidR="008A11B3" w:rsidRPr="00EC759A" w:rsidRDefault="008A11B3" w:rsidP="00DD354A">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In addition, there were persecutory actions, such as the blocking of the project of the Vladimir Herzog Institute, the Capão Jazz Festival, and The Holy Inquiry, among many others not publicized. The Palmares Foundation, through its President, practiced acts of censorship, denied the existence of slavery in Brazil, excluded national exponents from the List of Black Personalities, excluded philosophical books considered left-wing, and revoked environmental protection around the territories of Brazilian quilombos, among other acts and statements of prejudice and religious persecution.</w:t>
      </w:r>
    </w:p>
    <w:p w14:paraId="503F3624" w14:textId="77777777" w:rsidR="008A11B3" w:rsidRPr="00EC759A" w:rsidRDefault="008A11B3" w:rsidP="00DD354A">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 xml:space="preserve">Notwithstanding all the actions of the executive branch, including trying to prevent through the veto the approval of laws to support culture, the strength of civil society in the National Congress made possible the approval of two emergency support laws – Aldir Blanc Law with R$3 billion and Paulo Gustavo Law with R$3.8 billion – and a development law for the next five years (Aldir </w:t>
      </w:r>
      <w:r w:rsidRPr="00EC759A">
        <w:rPr>
          <w:rFonts w:asciiTheme="majorHAnsi" w:hAnsiTheme="majorHAnsi" w:cstheme="majorHAnsi"/>
          <w:sz w:val="24"/>
          <w:szCs w:val="24"/>
          <w:highlight w:val="white"/>
          <w:lang w:val="en-US"/>
        </w:rPr>
        <w:lastRenderedPageBreak/>
        <w:t>Blanc Law 2),  as well as guaranteed the significant fundraising by the Rouanet Law in 2022 (R$2.1 billion).</w:t>
      </w:r>
    </w:p>
    <w:p w14:paraId="240CD20E" w14:textId="6B38965F" w:rsidR="008A11B3" w:rsidRPr="00EC759A" w:rsidRDefault="008A11B3" w:rsidP="00DD354A">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The Lula Government, sworn in from 2023, recreated the Ministry of Culture, revoked the unconstitutional norms and published new regulations of the Rouanet Law, connected with the best practices and prioritied of the cultural segment, as well as reorganized procedures and staff for regularization of deadlines, release of resources and execution of the program; regulated the Paulo Gustavo Law and has already sent the R$3.8 billion to be distributed by the states and municipalities still in 2023 through public selection for the sector; returned the powers to the joint commission with civil society known as CNIC (National Commission for Incentives to Culture); scheduled the meetings to formalize the National Culture Plan; and is regulating the Aldir Blanc Law 2 (LAB2), which will distribute R $ 3 billion per year for the next 5 years.</w:t>
      </w:r>
    </w:p>
    <w:p w14:paraId="630F072E" w14:textId="1AE327CC" w:rsidR="007E029F" w:rsidRPr="00EC759A" w:rsidRDefault="008A11B3" w:rsidP="00937430">
      <w:pPr>
        <w:spacing w:after="120"/>
        <w:jc w:val="both"/>
        <w:rPr>
          <w:rFonts w:asciiTheme="majorHAnsi" w:hAnsiTheme="majorHAnsi" w:cstheme="majorHAnsi"/>
          <w:sz w:val="24"/>
          <w:szCs w:val="24"/>
          <w:highlight w:val="white"/>
          <w:lang w:val="en-US"/>
        </w:rPr>
      </w:pPr>
      <w:r w:rsidRPr="00EC759A">
        <w:rPr>
          <w:rFonts w:asciiTheme="majorHAnsi" w:hAnsiTheme="majorHAnsi" w:cstheme="majorHAnsi"/>
          <w:sz w:val="24"/>
          <w:szCs w:val="24"/>
          <w:highlight w:val="white"/>
          <w:lang w:val="en-US"/>
        </w:rPr>
        <w:t>The Ministry of Culture now has the challenge of: strengthening LAB2's development policy; implement transversal programs especially with education, environment, tourism and international relations; conduct research on the segment of culture and the creative economy, create benchmarks, and ensure the minimum budget, among other guidelines</w:t>
      </w:r>
      <w:r w:rsidR="00EC759A" w:rsidRPr="00EC759A">
        <w:rPr>
          <w:rFonts w:asciiTheme="majorHAnsi" w:hAnsiTheme="majorHAnsi" w:cstheme="majorHAnsi"/>
          <w:sz w:val="24"/>
          <w:szCs w:val="24"/>
          <w:highlight w:val="white"/>
          <w:lang w:val="en-US"/>
        </w:rPr>
        <w:t>.</w:t>
      </w:r>
    </w:p>
    <w:sectPr w:rsidR="007E029F" w:rsidRPr="00EC759A" w:rsidSect="00D20468">
      <w:footerReference w:type="even" r:id="rId16"/>
      <w:footerReference w:type="default" r:id="rId17"/>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5BE17" w14:textId="77777777" w:rsidR="00564374" w:rsidRDefault="00564374">
      <w:pPr>
        <w:spacing w:line="240" w:lineRule="auto"/>
      </w:pPr>
      <w:r>
        <w:separator/>
      </w:r>
    </w:p>
  </w:endnote>
  <w:endnote w:type="continuationSeparator" w:id="0">
    <w:p w14:paraId="6581BEBB" w14:textId="77777777" w:rsidR="00564374" w:rsidRDefault="005643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0710930"/>
      <w:docPartObj>
        <w:docPartGallery w:val="Page Numbers (Bottom of Page)"/>
        <w:docPartUnique/>
      </w:docPartObj>
    </w:sdtPr>
    <w:sdtEndPr>
      <w:rPr>
        <w:rStyle w:val="PageNumber"/>
      </w:rPr>
    </w:sdtEndPr>
    <w:sdtContent>
      <w:p w14:paraId="4130358A" w14:textId="77777777" w:rsidR="00F916F2" w:rsidRDefault="00F916F2" w:rsidP="00D204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82B5B6" w14:textId="77777777" w:rsidR="00F916F2" w:rsidRDefault="00F916F2" w:rsidP="00F916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9043087"/>
      <w:docPartObj>
        <w:docPartGallery w:val="Page Numbers (Bottom of Page)"/>
        <w:docPartUnique/>
      </w:docPartObj>
    </w:sdtPr>
    <w:sdtEndPr>
      <w:rPr>
        <w:rStyle w:val="PageNumber"/>
      </w:rPr>
    </w:sdtEndPr>
    <w:sdtContent>
      <w:p w14:paraId="27E8B21E" w14:textId="79D12320" w:rsidR="00D20468" w:rsidRDefault="00D20468" w:rsidP="00A95CD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5F0C39" w14:textId="77777777" w:rsidR="00F916F2" w:rsidRDefault="00F916F2" w:rsidP="00F916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23D14" w14:textId="77777777" w:rsidR="00564374" w:rsidRDefault="00564374">
      <w:pPr>
        <w:spacing w:line="240" w:lineRule="auto"/>
      </w:pPr>
      <w:r>
        <w:separator/>
      </w:r>
    </w:p>
  </w:footnote>
  <w:footnote w:type="continuationSeparator" w:id="0">
    <w:p w14:paraId="698325A7" w14:textId="77777777" w:rsidR="00564374" w:rsidRDefault="00564374">
      <w:pPr>
        <w:spacing w:line="240" w:lineRule="auto"/>
      </w:pPr>
      <w:r>
        <w:continuationSeparator/>
      </w:r>
    </w:p>
  </w:footnote>
  <w:footnote w:id="1">
    <w:p w14:paraId="7FD41AD3" w14:textId="77777777" w:rsidR="008A11B3" w:rsidRPr="008A11B3" w:rsidRDefault="008A11B3" w:rsidP="00D20468">
      <w:pPr>
        <w:pStyle w:val="FootnoteText"/>
        <w:jc w:val="both"/>
        <w:rPr>
          <w:rFonts w:asciiTheme="majorHAnsi" w:hAnsiTheme="majorHAnsi" w:cstheme="majorHAnsi"/>
        </w:rPr>
      </w:pPr>
      <w:r w:rsidRPr="008A11B3">
        <w:rPr>
          <w:rStyle w:val="FootnoteReference"/>
          <w:rFonts w:asciiTheme="majorHAnsi" w:hAnsiTheme="majorHAnsi" w:cstheme="majorHAnsi"/>
        </w:rPr>
        <w:footnoteRef/>
      </w:r>
      <w:r w:rsidRPr="008A11B3">
        <w:rPr>
          <w:rFonts w:asciiTheme="majorHAnsi" w:hAnsiTheme="majorHAnsi" w:cstheme="majorHAnsi"/>
        </w:rPr>
        <w:t xml:space="preserve"> https://comissaoarns.org</w:t>
      </w:r>
    </w:p>
  </w:footnote>
  <w:footnote w:id="2">
    <w:p w14:paraId="0715FBA7" w14:textId="77777777" w:rsidR="008A11B3" w:rsidRPr="008A11B3" w:rsidRDefault="008A11B3" w:rsidP="00D20468">
      <w:pPr>
        <w:pStyle w:val="FootnoteText"/>
        <w:jc w:val="both"/>
        <w:rPr>
          <w:rFonts w:asciiTheme="majorHAnsi" w:hAnsiTheme="majorHAnsi" w:cstheme="majorHAnsi"/>
        </w:rPr>
      </w:pPr>
      <w:r w:rsidRPr="008A11B3">
        <w:rPr>
          <w:rStyle w:val="FootnoteReference"/>
          <w:rFonts w:asciiTheme="majorHAnsi" w:hAnsiTheme="majorHAnsi" w:cstheme="majorHAnsi"/>
        </w:rPr>
        <w:footnoteRef/>
      </w:r>
      <w:r w:rsidRPr="008A11B3">
        <w:rPr>
          <w:rFonts w:asciiTheme="majorHAnsi" w:hAnsiTheme="majorHAnsi" w:cstheme="majorHAnsi"/>
        </w:rPr>
        <w:t xml:space="preserve"> https://www.ceert.org.br</w:t>
      </w:r>
    </w:p>
  </w:footnote>
  <w:footnote w:id="3">
    <w:p w14:paraId="7163F7D4" w14:textId="77777777" w:rsidR="008A11B3" w:rsidRPr="008A11B3" w:rsidRDefault="008A11B3" w:rsidP="00D20468">
      <w:pPr>
        <w:pStyle w:val="FootnoteText"/>
        <w:jc w:val="both"/>
        <w:rPr>
          <w:rFonts w:asciiTheme="majorHAnsi" w:hAnsiTheme="majorHAnsi" w:cstheme="majorHAnsi"/>
        </w:rPr>
      </w:pPr>
      <w:r w:rsidRPr="008A11B3">
        <w:rPr>
          <w:rStyle w:val="FootnoteReference"/>
          <w:rFonts w:asciiTheme="majorHAnsi" w:hAnsiTheme="majorHAnsi" w:cstheme="majorHAnsi"/>
        </w:rPr>
        <w:footnoteRef/>
      </w:r>
      <w:r w:rsidRPr="008A11B3">
        <w:rPr>
          <w:rFonts w:asciiTheme="majorHAnsi" w:hAnsiTheme="majorHAnsi" w:cstheme="majorHAnsi"/>
        </w:rPr>
        <w:t xml:space="preserve"> https://www.iteramaxe.com.br</w:t>
      </w:r>
    </w:p>
  </w:footnote>
  <w:footnote w:id="4">
    <w:p w14:paraId="510BE83C"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ADTC Art. 67. "The Union will complete the demarcation of indigenous lands within five years." Available at:</w:t>
      </w:r>
      <w:hyperlink r:id="rId1">
        <w:r w:rsidRPr="008A11B3">
          <w:rPr>
            <w:rFonts w:asciiTheme="majorHAnsi" w:hAnsiTheme="majorHAnsi" w:cstheme="majorHAnsi"/>
            <w:sz w:val="20"/>
            <w:szCs w:val="20"/>
          </w:rPr>
          <w:t xml:space="preserve"> </w:t>
        </w:r>
      </w:hyperlink>
      <w:hyperlink r:id="rId2">
        <w:r w:rsidRPr="008A11B3">
          <w:rPr>
            <w:rFonts w:asciiTheme="majorHAnsi" w:hAnsiTheme="majorHAnsi" w:cstheme="majorHAnsi"/>
            <w:color w:val="1155CC"/>
            <w:sz w:val="20"/>
            <w:szCs w:val="20"/>
            <w:u w:val="single"/>
          </w:rPr>
          <w:t>https://www2.camara.leg.br/legin/fed/conadc/1988/constituicao.adct-1988-5-outubro-1988-322234-normaatualizada-pl.pdf</w:t>
        </w:r>
      </w:hyperlink>
      <w:r w:rsidRPr="008A11B3">
        <w:rPr>
          <w:rFonts w:asciiTheme="majorHAnsi" w:hAnsiTheme="majorHAnsi" w:cstheme="majorHAnsi"/>
          <w:sz w:val="20"/>
          <w:szCs w:val="20"/>
        </w:rPr>
        <w:t>.</w:t>
      </w:r>
    </w:p>
  </w:footnote>
  <w:footnote w:id="5">
    <w:p w14:paraId="50D92A80"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Administrative steps for the demarcation of territories: identification studies; Approval of Funai; Disputes; Declarations of the limits of the land; physical demarcation.</w:t>
      </w:r>
    </w:p>
  </w:footnote>
  <w:footnote w:id="6">
    <w:p w14:paraId="36404F23"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Available at:</w:t>
      </w:r>
      <w:hyperlink r:id="rId3">
        <w:r w:rsidRPr="008A11B3">
          <w:rPr>
            <w:rFonts w:asciiTheme="majorHAnsi" w:hAnsiTheme="majorHAnsi" w:cstheme="majorHAnsi"/>
            <w:sz w:val="20"/>
            <w:szCs w:val="20"/>
          </w:rPr>
          <w:t xml:space="preserve"> </w:t>
        </w:r>
      </w:hyperlink>
      <w:hyperlink r:id="rId4">
        <w:r w:rsidRPr="008A11B3">
          <w:rPr>
            <w:rFonts w:asciiTheme="majorHAnsi" w:hAnsiTheme="majorHAnsi" w:cstheme="majorHAnsi"/>
            <w:color w:val="1155CC"/>
            <w:sz w:val="20"/>
            <w:szCs w:val="20"/>
            <w:u w:val="single"/>
          </w:rPr>
          <w:t>https://pib.socioambiental.org/pt/Situação_jurídica_das_TIs_no_Brasil_hoje</w:t>
        </w:r>
      </w:hyperlink>
      <w:r w:rsidRPr="008A11B3">
        <w:rPr>
          <w:rFonts w:asciiTheme="majorHAnsi" w:hAnsiTheme="majorHAnsi" w:cstheme="majorHAnsi"/>
          <w:sz w:val="20"/>
          <w:szCs w:val="20"/>
        </w:rPr>
        <w:t>.</w:t>
      </w:r>
    </w:p>
  </w:footnote>
  <w:footnote w:id="7">
    <w:p w14:paraId="5C28B500"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See: CIMI Anti-Indigenous Congress, available at: </w:t>
      </w:r>
      <w:hyperlink r:id="rId5">
        <w:r w:rsidRPr="008A11B3">
          <w:rPr>
            <w:rFonts w:asciiTheme="majorHAnsi" w:hAnsiTheme="majorHAnsi" w:cstheme="majorHAnsi"/>
            <w:sz w:val="20"/>
            <w:szCs w:val="20"/>
          </w:rPr>
          <w:t xml:space="preserve"> </w:t>
        </w:r>
      </w:hyperlink>
      <w:hyperlink r:id="rId6">
        <w:r w:rsidRPr="008A11B3">
          <w:rPr>
            <w:rFonts w:asciiTheme="majorHAnsi" w:hAnsiTheme="majorHAnsi" w:cstheme="majorHAnsi"/>
            <w:color w:val="1155CC"/>
            <w:sz w:val="20"/>
            <w:szCs w:val="20"/>
            <w:u w:val="single"/>
          </w:rPr>
          <w:t>https://cimi.org.br/congressoantiindigena/</w:t>
        </w:r>
      </w:hyperlink>
    </w:p>
  </w:footnote>
  <w:footnote w:id="8">
    <w:p w14:paraId="0F4FD858"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Art. 231. The Indians are recognized for their social organization, customs, languages, beliefs and traditions, and the original rights over the lands they traditionally occupy, and it is up to the Union to demarcate them, protect and ensure respect for all their assets. § 1 - The lands </w:t>
      </w:r>
      <w:r w:rsidRPr="008A11B3">
        <w:rPr>
          <w:rFonts w:asciiTheme="majorHAnsi" w:hAnsiTheme="majorHAnsi" w:cstheme="majorHAnsi"/>
          <w:sz w:val="20"/>
          <w:szCs w:val="20"/>
          <w:u w:val="single"/>
        </w:rPr>
        <w:t>traditionally</w:t>
      </w:r>
      <w:r w:rsidRPr="008A11B3">
        <w:rPr>
          <w:rFonts w:asciiTheme="majorHAnsi" w:hAnsiTheme="majorHAnsi" w:cstheme="majorHAnsi"/>
          <w:sz w:val="20"/>
          <w:szCs w:val="20"/>
        </w:rPr>
        <w:t xml:space="preserve"> occupied by the Indians are those inhabited by them on a permanent basis, those used for their productive activities, those essential to the preservation of the environmental resources necessary for their well-being and those necessary for their physical and cultural reproduction, according to their uses, customs and traditions</w:t>
      </w:r>
      <w:r w:rsidR="00920BFB" w:rsidRPr="008A11B3">
        <w:rPr>
          <w:rFonts w:asciiTheme="majorHAnsi" w:hAnsiTheme="majorHAnsi" w:cstheme="majorHAnsi"/>
          <w:sz w:val="20"/>
          <w:szCs w:val="20"/>
        </w:rPr>
        <w:t xml:space="preserve"> </w:t>
      </w:r>
      <w:r w:rsidRPr="008A11B3">
        <w:rPr>
          <w:rFonts w:asciiTheme="majorHAnsi" w:hAnsiTheme="majorHAnsi" w:cstheme="majorHAnsi"/>
          <w:sz w:val="20"/>
          <w:szCs w:val="20"/>
        </w:rPr>
        <w:t>(underline added).</w:t>
      </w:r>
    </w:p>
  </w:footnote>
  <w:footnote w:id="9">
    <w:p w14:paraId="052B6590"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CIMI. Available at:</w:t>
      </w:r>
      <w:hyperlink r:id="rId7">
        <w:r w:rsidRPr="008A11B3">
          <w:rPr>
            <w:rFonts w:asciiTheme="majorHAnsi" w:hAnsiTheme="majorHAnsi" w:cstheme="majorHAnsi"/>
            <w:sz w:val="20"/>
            <w:szCs w:val="20"/>
          </w:rPr>
          <w:t xml:space="preserve"> </w:t>
        </w:r>
      </w:hyperlink>
      <w:hyperlink r:id="rId8">
        <w:r w:rsidRPr="008A11B3">
          <w:rPr>
            <w:rFonts w:asciiTheme="majorHAnsi" w:hAnsiTheme="majorHAnsi" w:cstheme="majorHAnsi"/>
            <w:color w:val="1155CC"/>
            <w:sz w:val="20"/>
            <w:szCs w:val="20"/>
            <w:u w:val="single"/>
          </w:rPr>
          <w:t>https://cimi.org.br/2023/02/violencia-pataxo-demarcacao-governo-federal/</w:t>
        </w:r>
      </w:hyperlink>
      <w:r w:rsidRPr="008A11B3">
        <w:rPr>
          <w:rFonts w:asciiTheme="majorHAnsi" w:hAnsiTheme="majorHAnsi" w:cstheme="majorHAnsi"/>
          <w:sz w:val="20"/>
          <w:szCs w:val="20"/>
        </w:rPr>
        <w:t>.</w:t>
      </w:r>
    </w:p>
  </w:footnote>
  <w:footnote w:id="10">
    <w:p w14:paraId="6CE404A0"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Available at:</w:t>
      </w:r>
      <w:hyperlink r:id="rId9">
        <w:r w:rsidRPr="008A11B3">
          <w:rPr>
            <w:rFonts w:asciiTheme="majorHAnsi" w:hAnsiTheme="majorHAnsi" w:cstheme="majorHAnsi"/>
            <w:sz w:val="20"/>
            <w:szCs w:val="20"/>
          </w:rPr>
          <w:t xml:space="preserve"> </w:t>
        </w:r>
      </w:hyperlink>
      <w:hyperlink r:id="rId10">
        <w:r w:rsidRPr="008A11B3">
          <w:rPr>
            <w:rFonts w:asciiTheme="majorHAnsi" w:hAnsiTheme="majorHAnsi" w:cstheme="majorHAnsi"/>
            <w:color w:val="1155CC"/>
            <w:sz w:val="20"/>
            <w:szCs w:val="20"/>
            <w:u w:val="single"/>
          </w:rPr>
          <w:t>https://cotidiano.sites.ufsc.br/retomada-xokleng-konglui-o-renascimento-de-um-povo/</w:t>
        </w:r>
      </w:hyperlink>
      <w:r w:rsidRPr="008A11B3">
        <w:rPr>
          <w:rFonts w:asciiTheme="majorHAnsi" w:hAnsiTheme="majorHAnsi" w:cstheme="majorHAnsi"/>
          <w:sz w:val="20"/>
          <w:szCs w:val="20"/>
        </w:rPr>
        <w:t>.</w:t>
      </w:r>
    </w:p>
  </w:footnote>
  <w:footnote w:id="11">
    <w:p w14:paraId="02925AA0"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Report of the  Mission to the extreme south of Bahia to verify human rights violations against indigenous Pataxó people. Available at:</w:t>
      </w:r>
      <w:hyperlink r:id="rId11">
        <w:r w:rsidRPr="008A11B3">
          <w:rPr>
            <w:rFonts w:asciiTheme="majorHAnsi" w:hAnsiTheme="majorHAnsi" w:cstheme="majorHAnsi"/>
            <w:sz w:val="20"/>
            <w:szCs w:val="20"/>
          </w:rPr>
          <w:t xml:space="preserve"> </w:t>
        </w:r>
      </w:hyperlink>
      <w:hyperlink r:id="rId12">
        <w:r w:rsidRPr="008A11B3">
          <w:rPr>
            <w:rFonts w:asciiTheme="majorHAnsi" w:hAnsiTheme="majorHAnsi" w:cstheme="majorHAnsi"/>
            <w:color w:val="1155CC"/>
            <w:sz w:val="20"/>
            <w:szCs w:val="20"/>
            <w:u w:val="single"/>
          </w:rPr>
          <w:t>https://www.gov.br/participamaisbrasil/relatorio-da-missao-ao-extremo-sul-da-bahia-para-verificar-violacoes-aos-direitos-humanos-contra-indigenas-do-povo-pataxo</w:t>
        </w:r>
      </w:hyperlink>
      <w:r w:rsidRPr="008A11B3">
        <w:rPr>
          <w:rFonts w:asciiTheme="majorHAnsi" w:hAnsiTheme="majorHAnsi" w:cstheme="majorHAnsi"/>
          <w:sz w:val="20"/>
          <w:szCs w:val="20"/>
        </w:rPr>
        <w:t>.</w:t>
      </w:r>
    </w:p>
  </w:footnote>
  <w:footnote w:id="12">
    <w:p w14:paraId="71416FB4" w14:textId="45742792" w:rsidR="00D20468" w:rsidRPr="00D20468" w:rsidRDefault="00D20468">
      <w:pPr>
        <w:pStyle w:val="FootnoteText"/>
        <w:rPr>
          <w:lang w:val="en-US"/>
        </w:rPr>
      </w:pPr>
      <w:r>
        <w:rPr>
          <w:rStyle w:val="FootnoteReference"/>
        </w:rPr>
        <w:footnoteRef/>
      </w:r>
      <w:r>
        <w:t xml:space="preserve"> </w:t>
      </w:r>
      <w:r w:rsidRPr="008A11B3">
        <w:rPr>
          <w:rFonts w:asciiTheme="majorHAnsi" w:hAnsiTheme="majorHAnsi" w:cstheme="majorHAnsi"/>
        </w:rPr>
        <w:t>Decree n. 6.872/2009, which approves the PLANAPIR and institutes its Articulation and Monitoring Committee. Available at: :</w:t>
      </w:r>
      <w:hyperlink r:id="rId13">
        <w:r w:rsidRPr="008A11B3">
          <w:rPr>
            <w:rFonts w:asciiTheme="majorHAnsi" w:hAnsiTheme="majorHAnsi" w:cstheme="majorHAnsi"/>
            <w:color w:val="1155CC"/>
            <w:u w:val="single"/>
          </w:rPr>
          <w:t>https://www.planalto.gov.br/ccivil_03/_ato2007-2010/2009/decreto/d6872.htm</w:t>
        </w:r>
      </w:hyperlink>
      <w:r w:rsidRPr="008A11B3">
        <w:rPr>
          <w:rFonts w:asciiTheme="majorHAnsi" w:hAnsiTheme="majorHAnsi" w:cstheme="majorHAnsi"/>
        </w:rPr>
        <w:t>.</w:t>
      </w:r>
    </w:p>
  </w:footnote>
  <w:footnote w:id="13">
    <w:p w14:paraId="20966796"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Available at:</w:t>
      </w:r>
      <w:hyperlink r:id="rId14">
        <w:r w:rsidRPr="008A11B3">
          <w:rPr>
            <w:rFonts w:asciiTheme="majorHAnsi" w:hAnsiTheme="majorHAnsi" w:cstheme="majorHAnsi"/>
            <w:sz w:val="20"/>
            <w:szCs w:val="20"/>
          </w:rPr>
          <w:t xml:space="preserve"> </w:t>
        </w:r>
      </w:hyperlink>
      <w:hyperlink r:id="rId15">
        <w:r w:rsidRPr="008A11B3">
          <w:rPr>
            <w:rFonts w:asciiTheme="majorHAnsi" w:hAnsiTheme="majorHAnsi" w:cstheme="majorHAnsi"/>
            <w:color w:val="1155CC"/>
            <w:sz w:val="20"/>
            <w:szCs w:val="20"/>
            <w:u w:val="single"/>
          </w:rPr>
          <w:t>https://www.planalto.gov.br/ccivil_03/constituicao/emendas/emc/emc45.htm</w:t>
        </w:r>
      </w:hyperlink>
      <w:r w:rsidRPr="008A11B3">
        <w:rPr>
          <w:rFonts w:asciiTheme="majorHAnsi" w:hAnsiTheme="majorHAnsi" w:cstheme="majorHAnsi"/>
          <w:sz w:val="20"/>
          <w:szCs w:val="20"/>
        </w:rPr>
        <w:t>.</w:t>
      </w:r>
    </w:p>
  </w:footnote>
  <w:footnote w:id="14">
    <w:p w14:paraId="4510B4EB"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Recommendation n. 123/2022. Available at:</w:t>
      </w:r>
      <w:hyperlink r:id="rId16">
        <w:r w:rsidRPr="008A11B3">
          <w:rPr>
            <w:rFonts w:asciiTheme="majorHAnsi" w:hAnsiTheme="majorHAnsi" w:cstheme="majorHAnsi"/>
            <w:sz w:val="20"/>
            <w:szCs w:val="20"/>
          </w:rPr>
          <w:t xml:space="preserve"> </w:t>
        </w:r>
      </w:hyperlink>
      <w:hyperlink r:id="rId17">
        <w:r w:rsidRPr="008A11B3">
          <w:rPr>
            <w:rFonts w:asciiTheme="majorHAnsi" w:hAnsiTheme="majorHAnsi" w:cstheme="majorHAnsi"/>
            <w:color w:val="1155CC"/>
            <w:sz w:val="20"/>
            <w:szCs w:val="20"/>
            <w:u w:val="single"/>
          </w:rPr>
          <w:t>https://atos.cnj.jus.br/atos/detalhar/4305</w:t>
        </w:r>
      </w:hyperlink>
      <w:r w:rsidRPr="008A11B3">
        <w:rPr>
          <w:rFonts w:asciiTheme="majorHAnsi" w:hAnsiTheme="majorHAnsi" w:cstheme="majorHAnsi"/>
          <w:sz w:val="20"/>
          <w:szCs w:val="20"/>
        </w:rPr>
        <w:t>.</w:t>
      </w:r>
    </w:p>
  </w:footnote>
  <w:footnote w:id="15">
    <w:p w14:paraId="2CF96387"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ADPF 153. Available at:</w:t>
      </w:r>
      <w:hyperlink r:id="rId18">
        <w:r w:rsidRPr="008A11B3">
          <w:rPr>
            <w:rFonts w:asciiTheme="majorHAnsi" w:hAnsiTheme="majorHAnsi" w:cstheme="majorHAnsi"/>
            <w:sz w:val="20"/>
            <w:szCs w:val="20"/>
          </w:rPr>
          <w:t xml:space="preserve"> </w:t>
        </w:r>
      </w:hyperlink>
      <w:hyperlink r:id="rId19">
        <w:r w:rsidRPr="008A11B3">
          <w:rPr>
            <w:rFonts w:asciiTheme="majorHAnsi" w:hAnsiTheme="majorHAnsi" w:cstheme="majorHAnsi"/>
            <w:color w:val="1155CC"/>
            <w:sz w:val="20"/>
            <w:szCs w:val="20"/>
            <w:u w:val="single"/>
          </w:rPr>
          <w:t>https://redir.stf.jus.br/paginadorpub/paginador.jsp?docTP=AC&amp;docID=612960</w:t>
        </w:r>
      </w:hyperlink>
      <w:r w:rsidRPr="008A11B3">
        <w:rPr>
          <w:rFonts w:asciiTheme="majorHAnsi" w:hAnsiTheme="majorHAnsi" w:cstheme="majorHAnsi"/>
          <w:sz w:val="20"/>
          <w:szCs w:val="20"/>
        </w:rPr>
        <w:t>.</w:t>
      </w:r>
    </w:p>
  </w:footnote>
  <w:footnote w:id="16">
    <w:p w14:paraId="766C08CF" w14:textId="77777777" w:rsidR="007E029F" w:rsidRPr="008A11B3" w:rsidRDefault="00EC759A"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Available at:</w:t>
      </w:r>
      <w:hyperlink r:id="rId20">
        <w:r w:rsidRPr="008A11B3">
          <w:rPr>
            <w:rFonts w:asciiTheme="majorHAnsi" w:hAnsiTheme="majorHAnsi" w:cstheme="majorHAnsi"/>
            <w:sz w:val="20"/>
            <w:szCs w:val="20"/>
          </w:rPr>
          <w:t xml:space="preserve"> </w:t>
        </w:r>
      </w:hyperlink>
      <w:hyperlink r:id="rId21">
        <w:r w:rsidRPr="008A11B3">
          <w:rPr>
            <w:rFonts w:asciiTheme="majorHAnsi" w:hAnsiTheme="majorHAnsi" w:cstheme="majorHAnsi"/>
            <w:color w:val="1155CC"/>
            <w:sz w:val="20"/>
            <w:szCs w:val="20"/>
            <w:u w:val="single"/>
          </w:rPr>
          <w:t>https://www25.senado.leg.br/web/atividade/materias/-/materia/125951</w:t>
        </w:r>
      </w:hyperlink>
      <w:r w:rsidRPr="008A11B3">
        <w:rPr>
          <w:rFonts w:asciiTheme="majorHAnsi" w:hAnsiTheme="majorHAnsi" w:cstheme="majorHAnsi"/>
          <w:sz w:val="20"/>
          <w:szCs w:val="20"/>
        </w:rPr>
        <w:t>.</w:t>
      </w:r>
    </w:p>
  </w:footnote>
  <w:footnote w:id="17">
    <w:p w14:paraId="4F024415" w14:textId="77777777" w:rsidR="00A708FB" w:rsidRPr="008A11B3" w:rsidRDefault="00A708FB" w:rsidP="00D20468">
      <w:pPr>
        <w:pStyle w:val="FootnoteText"/>
        <w:jc w:val="both"/>
        <w:rPr>
          <w:rFonts w:asciiTheme="majorHAnsi" w:hAnsiTheme="majorHAnsi" w:cstheme="majorHAnsi"/>
          <w:lang w:val="en-US"/>
        </w:rPr>
      </w:pPr>
      <w:r w:rsidRPr="008A11B3">
        <w:rPr>
          <w:rStyle w:val="FootnoteReference"/>
          <w:rFonts w:asciiTheme="majorHAnsi" w:hAnsiTheme="majorHAnsi" w:cstheme="majorHAnsi"/>
        </w:rPr>
        <w:footnoteRef/>
      </w:r>
      <w:r w:rsidRPr="008A11B3">
        <w:rPr>
          <w:rFonts w:asciiTheme="majorHAnsi" w:hAnsiTheme="majorHAnsi" w:cstheme="majorHAnsi"/>
        </w:rPr>
        <w:t xml:space="preserve"> Available at: </w:t>
      </w:r>
      <w:hyperlink r:id="rId22" w:history="1">
        <w:r w:rsidRPr="008A11B3">
          <w:rPr>
            <w:rStyle w:val="Hyperlink"/>
            <w:rFonts w:asciiTheme="majorHAnsi" w:hAnsiTheme="majorHAnsi" w:cstheme="majorHAnsi"/>
          </w:rPr>
          <w:t>https://www.planalto.gov.br/ccivil_03/_Ato2015-2018/2017/Lei/L13467.htm</w:t>
        </w:r>
      </w:hyperlink>
      <w:r w:rsidRPr="008A11B3">
        <w:rPr>
          <w:rFonts w:asciiTheme="majorHAnsi" w:hAnsiTheme="majorHAnsi" w:cstheme="majorHAnsi"/>
        </w:rPr>
        <w:t xml:space="preserve">. </w:t>
      </w:r>
    </w:p>
  </w:footnote>
  <w:footnote w:id="18">
    <w:p w14:paraId="24FAA66F" w14:textId="77777777" w:rsidR="00A708FB" w:rsidRPr="008A11B3" w:rsidRDefault="00A708FB" w:rsidP="00D20468">
      <w:pPr>
        <w:pStyle w:val="FootnoteText"/>
        <w:jc w:val="both"/>
        <w:rPr>
          <w:rFonts w:asciiTheme="majorHAnsi" w:hAnsiTheme="majorHAnsi" w:cstheme="majorHAnsi"/>
          <w:lang w:val="en"/>
        </w:rPr>
      </w:pPr>
      <w:r w:rsidRPr="008A11B3">
        <w:rPr>
          <w:rStyle w:val="FootnoteReference"/>
          <w:rFonts w:asciiTheme="majorHAnsi" w:hAnsiTheme="majorHAnsi" w:cstheme="majorHAnsi"/>
          <w:color w:val="000000" w:themeColor="text1"/>
        </w:rPr>
        <w:footnoteRef/>
      </w:r>
      <w:r w:rsidRPr="008A11B3">
        <w:rPr>
          <w:rFonts w:asciiTheme="majorHAnsi" w:hAnsiTheme="majorHAnsi" w:cstheme="majorHAnsi"/>
          <w:color w:val="000000" w:themeColor="text1"/>
        </w:rPr>
        <w:t xml:space="preserve"> Available </w:t>
      </w:r>
      <w:r w:rsidRPr="008A11B3">
        <w:rPr>
          <w:rFonts w:asciiTheme="majorHAnsi" w:hAnsiTheme="majorHAnsi" w:cstheme="majorHAnsi"/>
        </w:rPr>
        <w:t xml:space="preserve">at: </w:t>
      </w:r>
      <w:hyperlink r:id="rId23" w:history="1">
        <w:r w:rsidRPr="008A11B3">
          <w:rPr>
            <w:rStyle w:val="Hyperlink"/>
            <w:rFonts w:asciiTheme="majorHAnsi" w:hAnsiTheme="majorHAnsi" w:cstheme="majorHAnsi"/>
          </w:rPr>
          <w:t>https://ftp.ibge.gov.br/Trabalho_e_Rendimento/Pesquisa_Nacional_por_Amostra_de_Domicilios_continua/Mensal/Quadro_Sintetico/2023/pnadc_202306_quadroSintetico.pdf</w:t>
        </w:r>
      </w:hyperlink>
      <w:r w:rsidRPr="008A11B3">
        <w:rPr>
          <w:rFonts w:asciiTheme="majorHAnsi" w:hAnsiTheme="majorHAnsi" w:cstheme="majorHAnsi"/>
        </w:rPr>
        <w:t xml:space="preserve">. </w:t>
      </w:r>
    </w:p>
  </w:footnote>
  <w:footnote w:id="19">
    <w:p w14:paraId="41ED2EFF" w14:textId="77777777" w:rsidR="00677B0D" w:rsidRPr="008A11B3" w:rsidRDefault="00677B0D" w:rsidP="00D20468">
      <w:pPr>
        <w:pStyle w:val="FootnoteText"/>
        <w:jc w:val="both"/>
        <w:rPr>
          <w:rFonts w:asciiTheme="majorHAnsi" w:hAnsiTheme="majorHAnsi" w:cstheme="majorHAnsi"/>
          <w:lang w:val="en-US"/>
        </w:rPr>
      </w:pPr>
      <w:r w:rsidRPr="008A11B3">
        <w:rPr>
          <w:rStyle w:val="FootnoteReference"/>
          <w:rFonts w:asciiTheme="majorHAnsi" w:hAnsiTheme="majorHAnsi" w:cstheme="majorHAnsi"/>
        </w:rPr>
        <w:footnoteRef/>
      </w:r>
      <w:r w:rsidRPr="008A11B3">
        <w:rPr>
          <w:rFonts w:asciiTheme="majorHAnsi" w:hAnsiTheme="majorHAnsi" w:cstheme="majorHAnsi"/>
        </w:rPr>
        <w:t xml:space="preserve"> LEONE, E. TEIXEIRA, M.; BALTAR, P. Impacts of labor reform on the labor market. In: </w:t>
      </w:r>
      <w:r w:rsidRPr="008A11B3">
        <w:rPr>
          <w:rFonts w:asciiTheme="majorHAnsi" w:hAnsiTheme="majorHAnsi" w:cstheme="majorHAnsi"/>
          <w:b/>
          <w:bCs/>
        </w:rPr>
        <w:t>Post-labor reform work  (</w:t>
      </w:r>
      <w:r w:rsidRPr="008A11B3">
        <w:rPr>
          <w:rFonts w:asciiTheme="majorHAnsi" w:hAnsiTheme="majorHAnsi" w:cstheme="majorHAnsi"/>
        </w:rPr>
        <w:t xml:space="preserve">2017) KREIN, J. D., et al., (Orgs.). São Paulo: Cesit - Center for Trade Union Studies and Labor Economics, 2021. Available at: </w:t>
      </w:r>
      <w:hyperlink r:id="rId24" w:history="1">
        <w:r w:rsidRPr="008A11B3">
          <w:rPr>
            <w:rStyle w:val="Hyperlink"/>
            <w:rFonts w:asciiTheme="majorHAnsi" w:hAnsiTheme="majorHAnsi" w:cstheme="majorHAnsi"/>
          </w:rPr>
          <w:t>https://www.eco.unicamp.br/remir/images/2021/VOL_1_A_reforma_trabalhista_210621.pdf</w:t>
        </w:r>
      </w:hyperlink>
      <w:r w:rsidRPr="008A11B3">
        <w:rPr>
          <w:rFonts w:asciiTheme="majorHAnsi" w:hAnsiTheme="majorHAnsi" w:cstheme="majorHAnsi"/>
        </w:rPr>
        <w:t xml:space="preserve">. </w:t>
      </w:r>
    </w:p>
  </w:footnote>
  <w:footnote w:id="20">
    <w:p w14:paraId="4330B850" w14:textId="77777777" w:rsidR="00677B0D" w:rsidRPr="008A11B3" w:rsidRDefault="00677B0D" w:rsidP="00D20468">
      <w:pPr>
        <w:pStyle w:val="FootnoteText"/>
        <w:jc w:val="both"/>
        <w:rPr>
          <w:rFonts w:asciiTheme="majorHAnsi" w:hAnsiTheme="majorHAnsi" w:cstheme="majorHAnsi"/>
          <w:lang w:val="en-US"/>
        </w:rPr>
      </w:pPr>
      <w:r w:rsidRPr="008A11B3">
        <w:rPr>
          <w:rStyle w:val="FootnoteReference"/>
          <w:rFonts w:asciiTheme="majorHAnsi" w:hAnsiTheme="majorHAnsi" w:cstheme="majorHAnsi"/>
        </w:rPr>
        <w:footnoteRef/>
      </w:r>
      <w:r w:rsidRPr="008A11B3">
        <w:rPr>
          <w:rFonts w:asciiTheme="majorHAnsi" w:hAnsiTheme="majorHAnsi" w:cstheme="majorHAnsi"/>
        </w:rPr>
        <w:t xml:space="preserve"> Inequality between black and white pepople deepens during the pandemic. Available at: https://www.dieese.org.br/ boletimespecial/2020/boletimEspecial03.html. </w:t>
      </w:r>
    </w:p>
  </w:footnote>
  <w:footnote w:id="21">
    <w:p w14:paraId="65268522" w14:textId="77777777" w:rsidR="00677B0D" w:rsidRPr="008A11B3" w:rsidRDefault="00677B0D" w:rsidP="00D20468">
      <w:pPr>
        <w:pStyle w:val="FootnoteText"/>
        <w:jc w:val="both"/>
        <w:rPr>
          <w:rFonts w:asciiTheme="majorHAnsi" w:hAnsiTheme="majorHAnsi" w:cstheme="majorHAnsi"/>
          <w:lang w:val="en-US"/>
        </w:rPr>
      </w:pPr>
      <w:r w:rsidRPr="008A11B3">
        <w:rPr>
          <w:rStyle w:val="FootnoteReference"/>
          <w:rFonts w:asciiTheme="majorHAnsi" w:hAnsiTheme="majorHAnsi" w:cstheme="majorHAnsi"/>
        </w:rPr>
        <w:footnoteRef/>
      </w:r>
      <w:r w:rsidRPr="008A11B3">
        <w:rPr>
          <w:rFonts w:asciiTheme="majorHAnsi" w:hAnsiTheme="majorHAnsi" w:cstheme="majorHAnsi"/>
        </w:rPr>
        <w:t xml:space="preserve"> Available at: </w:t>
      </w:r>
      <w:hyperlink r:id="rId25" w:history="1">
        <w:r w:rsidRPr="008A11B3">
          <w:rPr>
            <w:rStyle w:val="Hyperlink"/>
            <w:rFonts w:asciiTheme="majorHAnsi" w:hAnsiTheme="majorHAnsi" w:cstheme="majorHAnsi"/>
          </w:rPr>
          <w:t>https://retratodotrabalhoinformal.com.br/website/wp-content/uploads/2022/06/Retrato-do-Trabalho-Informal-no-Brasil.pdf</w:t>
        </w:r>
      </w:hyperlink>
      <w:r w:rsidRPr="008A11B3">
        <w:rPr>
          <w:rFonts w:asciiTheme="majorHAnsi" w:hAnsiTheme="majorHAnsi" w:cstheme="majorHAnsi"/>
        </w:rPr>
        <w:t xml:space="preserve">. </w:t>
      </w:r>
    </w:p>
  </w:footnote>
  <w:footnote w:id="22">
    <w:p w14:paraId="11CE43B8" w14:textId="77777777" w:rsidR="00677B0D" w:rsidRPr="008A11B3" w:rsidRDefault="00677B0D"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Black women in the Brazilian labor market: wage inequalities, representativeness and education between 2010 and 2022. Available at: </w:t>
      </w:r>
      <w:hyperlink r:id="rId26">
        <w:r w:rsidRPr="008A11B3">
          <w:rPr>
            <w:rFonts w:asciiTheme="majorHAnsi" w:hAnsiTheme="majorHAnsi" w:cstheme="majorHAnsi"/>
            <w:color w:val="1155CC"/>
            <w:sz w:val="20"/>
            <w:szCs w:val="20"/>
            <w:u w:val="single"/>
          </w:rPr>
          <w:t>https://storage.googleapis.com/pacto-public-documents/report_black_women.pdf</w:t>
        </w:r>
      </w:hyperlink>
      <w:r w:rsidRPr="008A11B3">
        <w:rPr>
          <w:rFonts w:asciiTheme="majorHAnsi" w:hAnsiTheme="majorHAnsi" w:cstheme="majorHAnsi"/>
          <w:sz w:val="20"/>
          <w:szCs w:val="20"/>
        </w:rPr>
        <w:t xml:space="preserve">. </w:t>
      </w:r>
    </w:p>
  </w:footnote>
  <w:footnote w:id="23">
    <w:p w14:paraId="31089F92" w14:textId="77777777" w:rsidR="00677B0D" w:rsidRPr="008A11B3" w:rsidRDefault="00677B0D"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II National Survey on Food Insecurity in the Context of the COVID-19 Pandemic in Brazil. Available at: </w:t>
      </w:r>
      <w:hyperlink r:id="rId27">
        <w:r w:rsidRPr="008A11B3">
          <w:rPr>
            <w:rFonts w:asciiTheme="majorHAnsi" w:hAnsiTheme="majorHAnsi" w:cstheme="majorHAnsi"/>
            <w:color w:val="1155CC"/>
            <w:sz w:val="20"/>
            <w:szCs w:val="20"/>
            <w:u w:val="single"/>
          </w:rPr>
          <w:t>https://olheparaafome.com.br/wp-content/uploads/2022/06/Relatorio-II-VIGISAN-2022.pdf</w:t>
        </w:r>
      </w:hyperlink>
      <w:r w:rsidRPr="008A11B3">
        <w:rPr>
          <w:rFonts w:asciiTheme="majorHAnsi" w:hAnsiTheme="majorHAnsi" w:cstheme="majorHAnsi"/>
          <w:sz w:val="20"/>
          <w:szCs w:val="20"/>
        </w:rPr>
        <w:t xml:space="preserve">. </w:t>
      </w:r>
    </w:p>
  </w:footnote>
  <w:footnote w:id="24">
    <w:p w14:paraId="1C6A4D9B" w14:textId="77777777" w:rsidR="00677B0D" w:rsidRPr="008A11B3" w:rsidRDefault="00677B0D" w:rsidP="00D20468">
      <w:pPr>
        <w:pStyle w:val="FootnoteText"/>
        <w:jc w:val="both"/>
        <w:rPr>
          <w:rFonts w:asciiTheme="majorHAnsi" w:hAnsiTheme="majorHAnsi" w:cstheme="majorHAnsi"/>
          <w:lang w:val="en-US"/>
        </w:rPr>
      </w:pPr>
      <w:r w:rsidRPr="008A11B3">
        <w:rPr>
          <w:rStyle w:val="FootnoteReference"/>
          <w:rFonts w:asciiTheme="majorHAnsi" w:hAnsiTheme="majorHAnsi" w:cstheme="majorHAnsi"/>
        </w:rPr>
        <w:footnoteRef/>
      </w:r>
      <w:r w:rsidRPr="008A11B3">
        <w:rPr>
          <w:rFonts w:asciiTheme="majorHAnsi" w:hAnsiTheme="majorHAnsi" w:cstheme="majorHAnsi"/>
        </w:rPr>
        <w:t xml:space="preserve"> PNAD, 2012 – National Household Sample Survey.</w:t>
      </w:r>
    </w:p>
  </w:footnote>
  <w:footnote w:id="25">
    <w:p w14:paraId="34329B8E" w14:textId="77777777" w:rsidR="00193A64" w:rsidRPr="008A11B3" w:rsidRDefault="00193A64" w:rsidP="00D20468">
      <w:pPr>
        <w:pStyle w:val="FootnoteText"/>
        <w:jc w:val="both"/>
        <w:rPr>
          <w:rFonts w:asciiTheme="majorHAnsi" w:hAnsiTheme="majorHAnsi" w:cstheme="majorHAnsi"/>
          <w:lang w:val="en-US"/>
        </w:rPr>
      </w:pPr>
      <w:r w:rsidRPr="008A11B3">
        <w:rPr>
          <w:rStyle w:val="FootnoteReference"/>
          <w:rFonts w:asciiTheme="majorHAnsi" w:hAnsiTheme="majorHAnsi" w:cstheme="majorHAnsi"/>
        </w:rPr>
        <w:footnoteRef/>
      </w:r>
      <w:r w:rsidRPr="008A11B3">
        <w:rPr>
          <w:rFonts w:asciiTheme="majorHAnsi" w:hAnsiTheme="majorHAnsi" w:cstheme="majorHAnsi"/>
        </w:rPr>
        <w:t xml:space="preserve"> ALFENAS, F.; CAVALCANTI, F.; GONZAGA, G. Labor market in the Legal Amazon: a comparative analysis with the rest of Brazil. Amazon Project 2030, Nov. 2020.</w:t>
      </w:r>
    </w:p>
  </w:footnote>
  <w:footnote w:id="26">
    <w:p w14:paraId="13599532"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Brazil: current levels of child marriage. Available at: </w:t>
      </w:r>
      <w:hyperlink r:id="rId28" w:history="1">
        <w:r w:rsidRPr="008A11B3">
          <w:rPr>
            <w:rStyle w:val="Hyperlink"/>
            <w:rFonts w:asciiTheme="majorHAnsi" w:hAnsiTheme="majorHAnsi" w:cstheme="majorHAnsi"/>
            <w:sz w:val="20"/>
            <w:szCs w:val="20"/>
          </w:rPr>
          <w:t>https://data.unicef.org/resources/child-marriage-country-profiles/</w:t>
        </w:r>
      </w:hyperlink>
      <w:r w:rsidRPr="008A11B3">
        <w:rPr>
          <w:rFonts w:asciiTheme="majorHAnsi" w:hAnsiTheme="majorHAnsi" w:cstheme="majorHAnsi"/>
          <w:sz w:val="20"/>
          <w:szCs w:val="20"/>
        </w:rPr>
        <w:t xml:space="preserve">. </w:t>
      </w:r>
    </w:p>
  </w:footnote>
  <w:footnote w:id="27">
    <w:p w14:paraId="6EBD655F"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Gender Statistics: Women's Social Indicators. Available at: </w:t>
      </w:r>
      <w:hyperlink r:id="rId29" w:history="1">
        <w:r w:rsidRPr="008A11B3">
          <w:rPr>
            <w:rStyle w:val="Hyperlink"/>
            <w:rFonts w:asciiTheme="majorHAnsi" w:hAnsiTheme="majorHAnsi" w:cstheme="majorHAnsi"/>
            <w:sz w:val="20"/>
            <w:szCs w:val="20"/>
          </w:rPr>
          <w:t>https://biblioteca.ibge.gov.br/visualizacao/livros/liv101784_informativo.pdf</w:t>
        </w:r>
      </w:hyperlink>
      <w:r w:rsidRPr="008A11B3">
        <w:rPr>
          <w:rFonts w:asciiTheme="majorHAnsi" w:hAnsiTheme="majorHAnsi" w:cstheme="majorHAnsi"/>
          <w:sz w:val="20"/>
          <w:szCs w:val="20"/>
        </w:rPr>
        <w:t xml:space="preserve">. </w:t>
      </w:r>
    </w:p>
  </w:footnote>
  <w:footnote w:id="28">
    <w:p w14:paraId="72E6CEEA" w14:textId="77777777" w:rsidR="00193A64" w:rsidRPr="008A11B3" w:rsidRDefault="00193A64" w:rsidP="00D20468">
      <w:pPr>
        <w:spacing w:line="240" w:lineRule="auto"/>
        <w:jc w:val="both"/>
        <w:rPr>
          <w:rFonts w:asciiTheme="majorHAnsi" w:hAnsiTheme="majorHAnsi" w:cstheme="majorHAnsi"/>
          <w:sz w:val="20"/>
          <w:szCs w:val="20"/>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GOES, E. F., et. al. Racial inequalities in trends in adolescent motherhood and access to prenatal care in Brazil, 2008-2019. Research, Society and Development, [S. l.], v. 12, n. 1, 2023. Available at: </w:t>
      </w:r>
      <w:hyperlink r:id="rId30" w:history="1">
        <w:r w:rsidRPr="008A11B3">
          <w:rPr>
            <w:rStyle w:val="Hyperlink"/>
            <w:rFonts w:asciiTheme="majorHAnsi" w:hAnsiTheme="majorHAnsi" w:cstheme="majorHAnsi"/>
            <w:sz w:val="20"/>
            <w:szCs w:val="20"/>
          </w:rPr>
          <w:t>https://rsdjournal.org/index.php/rsd/article/view/39404</w:t>
        </w:r>
      </w:hyperlink>
      <w:r w:rsidRPr="008A11B3">
        <w:rPr>
          <w:rFonts w:asciiTheme="majorHAnsi" w:hAnsiTheme="majorHAnsi" w:cstheme="majorHAnsi"/>
          <w:sz w:val="20"/>
          <w:szCs w:val="20"/>
        </w:rPr>
        <w:t xml:space="preserve">. </w:t>
      </w:r>
    </w:p>
  </w:footnote>
  <w:footnote w:id="29">
    <w:p w14:paraId="1B9CEC4F"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Law No. 13.811/2019. Available at: </w:t>
      </w:r>
      <w:hyperlink r:id="rId31" w:history="1">
        <w:r w:rsidRPr="008A11B3">
          <w:rPr>
            <w:rStyle w:val="Hyperlink"/>
            <w:rFonts w:asciiTheme="majorHAnsi" w:hAnsiTheme="majorHAnsi" w:cstheme="majorHAnsi"/>
            <w:sz w:val="20"/>
            <w:szCs w:val="20"/>
          </w:rPr>
          <w:t>https://www.planalto.gov.br/ccivil_03/_ato2019-2022/2019/lei/l13811.htm</w:t>
        </w:r>
      </w:hyperlink>
      <w:r w:rsidRPr="008A11B3">
        <w:rPr>
          <w:rFonts w:asciiTheme="majorHAnsi" w:hAnsiTheme="majorHAnsi" w:cstheme="majorHAnsi"/>
          <w:sz w:val="20"/>
          <w:szCs w:val="20"/>
        </w:rPr>
        <w:t xml:space="preserve">. </w:t>
      </w:r>
    </w:p>
  </w:footnote>
  <w:footnote w:id="30">
    <w:p w14:paraId="6E224B91"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By the Law No. 12.015/2009, rape of a vulnerable person occurs when the person does not have the necessary discernment to carry out the act, when she is unable to offer resistance, as well as “having carnal intercourse or performing another libidinous act with a minor of 14 (fourteen) years old”. Available at: </w:t>
      </w:r>
      <w:hyperlink r:id="rId32" w:history="1">
        <w:r w:rsidRPr="008A11B3">
          <w:rPr>
            <w:rStyle w:val="Hyperlink"/>
            <w:rFonts w:asciiTheme="majorHAnsi" w:hAnsiTheme="majorHAnsi" w:cstheme="majorHAnsi"/>
            <w:sz w:val="20"/>
            <w:szCs w:val="20"/>
          </w:rPr>
          <w:t>https://www.planalto.gov.br/ccivil_03/decreto-lei/del2848.htm</w:t>
        </w:r>
      </w:hyperlink>
      <w:r w:rsidRPr="008A11B3">
        <w:rPr>
          <w:rFonts w:asciiTheme="majorHAnsi" w:hAnsiTheme="majorHAnsi" w:cstheme="majorHAnsi"/>
          <w:sz w:val="20"/>
          <w:szCs w:val="20"/>
        </w:rPr>
        <w:t xml:space="preserve">. </w:t>
      </w:r>
    </w:p>
  </w:footnote>
  <w:footnote w:id="31">
    <w:p w14:paraId="1DA24133"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Law No. 11.096/2005. Available at: </w:t>
      </w:r>
      <w:hyperlink r:id="rId33">
        <w:r w:rsidRPr="008A11B3">
          <w:rPr>
            <w:rFonts w:asciiTheme="majorHAnsi" w:hAnsiTheme="majorHAnsi" w:cstheme="majorHAnsi"/>
            <w:color w:val="1155CC"/>
            <w:sz w:val="20"/>
            <w:szCs w:val="20"/>
            <w:u w:val="single"/>
          </w:rPr>
          <w:t>https://www.planalto.gov.br/ccivil_03/_Ato2004-2006/2005/Lei/L11096.htm</w:t>
        </w:r>
      </w:hyperlink>
      <w:r w:rsidRPr="008A11B3">
        <w:rPr>
          <w:rFonts w:asciiTheme="majorHAnsi" w:hAnsiTheme="majorHAnsi" w:cstheme="majorHAnsi"/>
          <w:sz w:val="20"/>
          <w:szCs w:val="20"/>
        </w:rPr>
        <w:t xml:space="preserve">. </w:t>
      </w:r>
    </w:p>
  </w:footnote>
  <w:footnote w:id="32">
    <w:p w14:paraId="74AC0CFA"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Normative Ordinance No. 21, of November 5, 2012. Available at: </w:t>
      </w:r>
      <w:hyperlink r:id="rId34">
        <w:r w:rsidRPr="008A11B3">
          <w:rPr>
            <w:rFonts w:asciiTheme="majorHAnsi" w:hAnsiTheme="majorHAnsi" w:cstheme="majorHAnsi"/>
            <w:color w:val="1155CC"/>
            <w:sz w:val="20"/>
            <w:szCs w:val="20"/>
            <w:u w:val="single"/>
          </w:rPr>
          <w:t>https://sisu.furg.br/images/portaria21mec.pdf</w:t>
        </w:r>
      </w:hyperlink>
      <w:r w:rsidRPr="008A11B3">
        <w:rPr>
          <w:rFonts w:asciiTheme="majorHAnsi" w:hAnsiTheme="majorHAnsi" w:cstheme="majorHAnsi"/>
          <w:sz w:val="20"/>
          <w:szCs w:val="20"/>
        </w:rPr>
        <w:t xml:space="preserve">. </w:t>
      </w:r>
    </w:p>
  </w:footnote>
  <w:footnote w:id="33">
    <w:p w14:paraId="077ACFA8"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Law No. 10.260/2001. Available at: </w:t>
      </w:r>
      <w:hyperlink r:id="rId35">
        <w:r w:rsidRPr="008A11B3">
          <w:rPr>
            <w:rFonts w:asciiTheme="majorHAnsi" w:hAnsiTheme="majorHAnsi" w:cstheme="majorHAnsi"/>
            <w:color w:val="1155CC"/>
            <w:sz w:val="20"/>
            <w:szCs w:val="20"/>
            <w:u w:val="single"/>
          </w:rPr>
          <w:t>http://www.planalto.gov.br/ccivil_03/leis/LEIS_2001/L10260compilado.htm</w:t>
        </w:r>
      </w:hyperlink>
      <w:r w:rsidRPr="008A11B3">
        <w:rPr>
          <w:rFonts w:asciiTheme="majorHAnsi" w:hAnsiTheme="majorHAnsi" w:cstheme="majorHAnsi"/>
          <w:sz w:val="20"/>
          <w:szCs w:val="20"/>
        </w:rPr>
        <w:t xml:space="preserve">. </w:t>
      </w:r>
    </w:p>
  </w:footnote>
  <w:footnote w:id="34">
    <w:p w14:paraId="0D7D04D3"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Law No. 12.711/2012. Available at: </w:t>
      </w:r>
      <w:hyperlink r:id="rId36">
        <w:r w:rsidRPr="008A11B3">
          <w:rPr>
            <w:rFonts w:asciiTheme="majorHAnsi" w:hAnsiTheme="majorHAnsi" w:cstheme="majorHAnsi"/>
            <w:color w:val="1155CC"/>
            <w:sz w:val="20"/>
            <w:szCs w:val="20"/>
            <w:u w:val="single"/>
          </w:rPr>
          <w:t>https://www.planalto.gov.br/ccivil_03/_ato2011-2014/2012/lei/l12711.htm</w:t>
        </w:r>
      </w:hyperlink>
      <w:r w:rsidRPr="008A11B3">
        <w:rPr>
          <w:rFonts w:asciiTheme="majorHAnsi" w:hAnsiTheme="majorHAnsi" w:cstheme="majorHAnsi"/>
          <w:sz w:val="20"/>
          <w:szCs w:val="20"/>
        </w:rPr>
        <w:t xml:space="preserve">. </w:t>
      </w:r>
    </w:p>
  </w:footnote>
  <w:footnote w:id="35">
    <w:p w14:paraId="102ECD40"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Affirmative action policies have arrived more recently in these spaces, mainly influenced by the Quota Law, and by a collective effort for its implementation, since the Law does not say about the mandatory offer of these courses. Anna Carolina Venturini and João Féres (2018:2020), point out that in 2018, only 26.4% of graduate programs offered and/or had some type of affirmative action.</w:t>
      </w:r>
    </w:p>
  </w:footnote>
  <w:footnote w:id="36">
    <w:p w14:paraId="6E84C55F" w14:textId="77777777" w:rsidR="00193A64" w:rsidRPr="008A11B3" w:rsidRDefault="00193A64" w:rsidP="00D20468">
      <w:pPr>
        <w:spacing w:line="240" w:lineRule="auto"/>
        <w:jc w:val="both"/>
        <w:rPr>
          <w:rFonts w:asciiTheme="majorHAnsi" w:hAnsiTheme="majorHAnsi" w:cstheme="majorHAnsi"/>
          <w:sz w:val="20"/>
          <w:szCs w:val="20"/>
          <w:lang w:val="pt-BR"/>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SILVA, Tatiana Dias. Affirmative Action and Black Population in Higher Education: access and student profile. IPEA, 2020. Available at: </w:t>
      </w:r>
      <w:hyperlink r:id="rId37">
        <w:r w:rsidRPr="008A11B3">
          <w:rPr>
            <w:rFonts w:asciiTheme="majorHAnsi" w:hAnsiTheme="majorHAnsi" w:cstheme="majorHAnsi"/>
            <w:color w:val="1155CC"/>
            <w:sz w:val="20"/>
            <w:szCs w:val="20"/>
            <w:u w:val="single"/>
          </w:rPr>
          <w:t>https://repositorio.ipea.gov.br/handle/11058/10102</w:t>
        </w:r>
      </w:hyperlink>
      <w:r w:rsidRPr="008A11B3">
        <w:rPr>
          <w:rFonts w:asciiTheme="majorHAnsi" w:hAnsiTheme="majorHAnsi" w:cstheme="majorHAnsi"/>
          <w:sz w:val="20"/>
          <w:szCs w:val="20"/>
        </w:rPr>
        <w:t xml:space="preserve">. </w:t>
      </w:r>
    </w:p>
  </w:footnote>
  <w:footnote w:id="37">
    <w:p w14:paraId="7694C565" w14:textId="77777777" w:rsidR="00193A64" w:rsidRPr="008A11B3" w:rsidRDefault="00193A64" w:rsidP="00D20468">
      <w:pPr>
        <w:spacing w:line="240" w:lineRule="auto"/>
        <w:jc w:val="both"/>
        <w:rPr>
          <w:rFonts w:asciiTheme="majorHAnsi" w:hAnsiTheme="majorHAnsi" w:cstheme="majorHAnsi"/>
          <w:sz w:val="20"/>
          <w:szCs w:val="20"/>
          <w:lang w:val="pt-BR"/>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QUEIROZ, Christina Impact on science. FAPESP RESEARCH. Issue 308. Out. 2021. Available at: </w:t>
      </w:r>
      <w:hyperlink r:id="rId38">
        <w:r w:rsidRPr="008A11B3">
          <w:rPr>
            <w:rFonts w:asciiTheme="majorHAnsi" w:hAnsiTheme="majorHAnsi" w:cstheme="majorHAnsi"/>
            <w:color w:val="1155CC"/>
            <w:sz w:val="20"/>
            <w:szCs w:val="20"/>
            <w:u w:val="single"/>
          </w:rPr>
          <w:t>https://revistapesquisa.fapesp.br/impacto-na-ciencia/</w:t>
        </w:r>
      </w:hyperlink>
      <w:r w:rsidRPr="008A11B3">
        <w:rPr>
          <w:rFonts w:asciiTheme="majorHAnsi" w:hAnsiTheme="majorHAnsi" w:cstheme="majorHAnsi"/>
          <w:sz w:val="20"/>
          <w:szCs w:val="20"/>
        </w:rPr>
        <w:t xml:space="preserve">. </w:t>
      </w:r>
    </w:p>
  </w:footnote>
  <w:footnote w:id="38">
    <w:p w14:paraId="4465A582" w14:textId="77777777" w:rsidR="00193A64" w:rsidRPr="008A11B3" w:rsidRDefault="00193A64" w:rsidP="00D20468">
      <w:pPr>
        <w:spacing w:line="240" w:lineRule="auto"/>
        <w:jc w:val="both"/>
        <w:rPr>
          <w:rFonts w:asciiTheme="majorHAnsi" w:hAnsiTheme="majorHAnsi" w:cstheme="majorHAnsi"/>
          <w:sz w:val="20"/>
          <w:szCs w:val="20"/>
          <w:lang w:val="en-US"/>
        </w:rPr>
      </w:pPr>
      <w:r w:rsidRPr="008A11B3">
        <w:rPr>
          <w:rFonts w:asciiTheme="majorHAnsi" w:hAnsiTheme="majorHAnsi" w:cstheme="majorHAnsi"/>
          <w:sz w:val="20"/>
          <w:szCs w:val="20"/>
          <w:vertAlign w:val="superscript"/>
        </w:rPr>
        <w:footnoteRef/>
      </w:r>
      <w:r w:rsidRPr="008A11B3">
        <w:rPr>
          <w:rFonts w:asciiTheme="majorHAnsi" w:hAnsiTheme="majorHAnsi" w:cstheme="majorHAnsi"/>
          <w:sz w:val="20"/>
          <w:szCs w:val="20"/>
        </w:rPr>
        <w:t xml:space="preserve"> JACKSON, E. M.; TEIXEIRA, K. M. D.; FERREIRA, M. A. M. Racial and gender prevalence in the profile of higher education teachers. Katálysis Magazine, v. 25, n. 2, p. 303–315, mai. 2022. Available at: </w:t>
      </w:r>
      <w:hyperlink r:id="rId39" w:anchor="ModalHowcite">
        <w:r w:rsidRPr="008A11B3">
          <w:rPr>
            <w:rFonts w:asciiTheme="majorHAnsi" w:hAnsiTheme="majorHAnsi" w:cstheme="majorHAnsi"/>
            <w:color w:val="1155CC"/>
            <w:sz w:val="20"/>
            <w:szCs w:val="20"/>
            <w:u w:val="single"/>
          </w:rPr>
          <w:t>https://www.scielo.br/j/rk/a/LvwKpGwBpzfTFtZkS3MygsL/#ModalHowcite</w:t>
        </w:r>
      </w:hyperlink>
      <w:r w:rsidRPr="008A11B3">
        <w:rPr>
          <w:rFonts w:asciiTheme="majorHAnsi" w:hAnsiTheme="majorHAnsi" w:cstheme="majorHAnsi"/>
          <w:sz w:val="20"/>
          <w:szCs w:val="20"/>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29F"/>
    <w:rsid w:val="00176443"/>
    <w:rsid w:val="00193A64"/>
    <w:rsid w:val="00222282"/>
    <w:rsid w:val="004C26D2"/>
    <w:rsid w:val="00564374"/>
    <w:rsid w:val="00677B0D"/>
    <w:rsid w:val="007E029F"/>
    <w:rsid w:val="007E755E"/>
    <w:rsid w:val="00802579"/>
    <w:rsid w:val="008A11B3"/>
    <w:rsid w:val="00920BFB"/>
    <w:rsid w:val="00937430"/>
    <w:rsid w:val="00A708FB"/>
    <w:rsid w:val="00CE3A6C"/>
    <w:rsid w:val="00D20468"/>
    <w:rsid w:val="00D74FD6"/>
    <w:rsid w:val="00E06E31"/>
    <w:rsid w:val="00EC759A"/>
    <w:rsid w:val="00F916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1EF29"/>
  <w15:docId w15:val="{49CD95CC-8442-7B4F-B434-C417F1FE2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8A11B3"/>
    <w:pPr>
      <w:keepNext/>
      <w:keepLines/>
      <w:spacing w:before="400" w:after="120"/>
      <w:outlineLvl w:val="0"/>
    </w:pPr>
    <w:rPr>
      <w:b/>
      <w:sz w:val="24"/>
      <w:szCs w:val="40"/>
      <w:u w:val="single"/>
    </w:rPr>
  </w:style>
  <w:style w:type="paragraph" w:styleId="Heading2">
    <w:name w:val="heading 2"/>
    <w:basedOn w:val="Normal"/>
    <w:next w:val="Normal"/>
    <w:uiPriority w:val="9"/>
    <w:unhideWhenUsed/>
    <w:qFormat/>
    <w:rsid w:val="008A11B3"/>
    <w:pPr>
      <w:keepNext/>
      <w:keepLines/>
      <w:spacing w:before="360" w:after="120"/>
      <w:outlineLvl w:val="1"/>
    </w:pPr>
    <w:rPr>
      <w:b/>
      <w:sz w:val="24"/>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FootnoteText">
    <w:name w:val="footnote text"/>
    <w:basedOn w:val="Normal"/>
    <w:link w:val="FootnoteTextChar"/>
    <w:uiPriority w:val="99"/>
    <w:semiHidden/>
    <w:unhideWhenUsed/>
    <w:rsid w:val="004C26D2"/>
    <w:pPr>
      <w:spacing w:line="240" w:lineRule="auto"/>
    </w:pPr>
    <w:rPr>
      <w:rFonts w:asciiTheme="minorHAnsi" w:eastAsiaTheme="minorHAnsi" w:hAnsiTheme="minorHAnsi" w:cstheme="minorBidi"/>
      <w:kern w:val="2"/>
      <w:sz w:val="20"/>
      <w:szCs w:val="20"/>
      <w:lang w:val="pt-BR" w:eastAsia="en-US"/>
      <w14:ligatures w14:val="standardContextual"/>
    </w:rPr>
  </w:style>
  <w:style w:type="character" w:customStyle="1" w:styleId="FootnoteTextChar">
    <w:name w:val="Footnote Text Char"/>
    <w:basedOn w:val="DefaultParagraphFont"/>
    <w:link w:val="FootnoteText"/>
    <w:uiPriority w:val="99"/>
    <w:semiHidden/>
    <w:rsid w:val="004C26D2"/>
    <w:rPr>
      <w:rFonts w:asciiTheme="minorHAnsi" w:eastAsiaTheme="minorHAnsi" w:hAnsiTheme="minorHAnsi" w:cstheme="minorBidi"/>
      <w:kern w:val="2"/>
      <w:sz w:val="20"/>
      <w:szCs w:val="20"/>
      <w:lang w:val="pt-BR" w:eastAsia="en-US"/>
      <w14:ligatures w14:val="standardContextual"/>
    </w:rPr>
  </w:style>
  <w:style w:type="character" w:styleId="FootnoteReference">
    <w:name w:val="footnote reference"/>
    <w:basedOn w:val="DefaultParagraphFont"/>
    <w:uiPriority w:val="99"/>
    <w:semiHidden/>
    <w:unhideWhenUsed/>
    <w:rsid w:val="004C26D2"/>
    <w:rPr>
      <w:vertAlign w:val="superscript"/>
    </w:rPr>
  </w:style>
  <w:style w:type="character" w:styleId="Hyperlink">
    <w:name w:val="Hyperlink"/>
    <w:basedOn w:val="DefaultParagraphFont"/>
    <w:uiPriority w:val="99"/>
    <w:unhideWhenUsed/>
    <w:rsid w:val="004C26D2"/>
    <w:rPr>
      <w:color w:val="0000FF" w:themeColor="hyperlink"/>
      <w:u w:val="single"/>
    </w:rPr>
  </w:style>
  <w:style w:type="paragraph" w:styleId="Footer">
    <w:name w:val="footer"/>
    <w:basedOn w:val="Normal"/>
    <w:link w:val="FooterChar"/>
    <w:uiPriority w:val="99"/>
    <w:unhideWhenUsed/>
    <w:rsid w:val="00F916F2"/>
    <w:pPr>
      <w:tabs>
        <w:tab w:val="center" w:pos="4252"/>
        <w:tab w:val="right" w:pos="8504"/>
      </w:tabs>
      <w:spacing w:line="240" w:lineRule="auto"/>
    </w:pPr>
  </w:style>
  <w:style w:type="character" w:customStyle="1" w:styleId="FooterChar">
    <w:name w:val="Footer Char"/>
    <w:basedOn w:val="DefaultParagraphFont"/>
    <w:link w:val="Footer"/>
    <w:uiPriority w:val="99"/>
    <w:rsid w:val="00F916F2"/>
  </w:style>
  <w:style w:type="character" w:styleId="PageNumber">
    <w:name w:val="page number"/>
    <w:basedOn w:val="DefaultParagraphFont"/>
    <w:uiPriority w:val="99"/>
    <w:semiHidden/>
    <w:unhideWhenUsed/>
    <w:rsid w:val="00F916F2"/>
  </w:style>
  <w:style w:type="character" w:styleId="FollowedHyperlink">
    <w:name w:val="FollowedHyperlink"/>
    <w:basedOn w:val="DefaultParagraphFont"/>
    <w:uiPriority w:val="99"/>
    <w:semiHidden/>
    <w:unhideWhenUsed/>
    <w:rsid w:val="00F916F2"/>
    <w:rPr>
      <w:color w:val="800080" w:themeColor="followedHyperlink"/>
      <w:u w:val="single"/>
    </w:rPr>
  </w:style>
  <w:style w:type="character" w:styleId="UnresolvedMention">
    <w:name w:val="Unresolved Mention"/>
    <w:basedOn w:val="DefaultParagraphFont"/>
    <w:uiPriority w:val="99"/>
    <w:semiHidden/>
    <w:unhideWhenUsed/>
    <w:rsid w:val="00F916F2"/>
    <w:rPr>
      <w:color w:val="605E5C"/>
      <w:shd w:val="clear" w:color="auto" w:fill="E1DFDD"/>
    </w:rPr>
  </w:style>
  <w:style w:type="paragraph" w:customStyle="1" w:styleId="Normal1">
    <w:name w:val="Normal1"/>
    <w:rsid w:val="008A11B3"/>
    <w:pPr>
      <w:spacing w:after="200"/>
    </w:pPr>
    <w:rPr>
      <w:rFonts w:asciiTheme="minorHAnsi" w:eastAsiaTheme="minorHAnsi" w:hAnsiTheme="minorHAnsi" w:cstheme="minorBidi"/>
      <w:lang w:val="pt-BR"/>
    </w:rPr>
  </w:style>
  <w:style w:type="table" w:styleId="TableGrid">
    <w:name w:val="Table Grid"/>
    <w:basedOn w:val="TableNormal"/>
    <w:uiPriority w:val="59"/>
    <w:rsid w:val="008A11B3"/>
    <w:pPr>
      <w:spacing w:line="240" w:lineRule="auto"/>
    </w:pPr>
    <w:rPr>
      <w:rFonts w:asciiTheme="minorHAnsi" w:eastAsiaTheme="minorHAnsi" w:hAnsiTheme="minorHAnsi" w:cstheme="minorBidi"/>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D20468"/>
    <w:pPr>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D20468"/>
    <w:pPr>
      <w:spacing w:before="120"/>
      <w:ind w:left="220"/>
    </w:pPr>
    <w:rPr>
      <w:rFonts w:asciiTheme="minorHAnsi" w:hAnsiTheme="minorHAnsi"/>
      <w:b/>
      <w:bCs/>
    </w:rPr>
  </w:style>
  <w:style w:type="paragraph" w:styleId="TOC3">
    <w:name w:val="toc 3"/>
    <w:basedOn w:val="Normal"/>
    <w:next w:val="Normal"/>
    <w:autoRedefine/>
    <w:uiPriority w:val="39"/>
    <w:unhideWhenUsed/>
    <w:rsid w:val="00D20468"/>
    <w:pPr>
      <w:ind w:left="440"/>
    </w:pPr>
    <w:rPr>
      <w:rFonts w:asciiTheme="minorHAnsi" w:hAnsiTheme="minorHAnsi"/>
      <w:sz w:val="20"/>
      <w:szCs w:val="20"/>
    </w:rPr>
  </w:style>
  <w:style w:type="paragraph" w:styleId="TOC4">
    <w:name w:val="toc 4"/>
    <w:basedOn w:val="Normal"/>
    <w:next w:val="Normal"/>
    <w:autoRedefine/>
    <w:uiPriority w:val="39"/>
    <w:unhideWhenUsed/>
    <w:rsid w:val="00D20468"/>
    <w:pPr>
      <w:ind w:left="660"/>
    </w:pPr>
    <w:rPr>
      <w:rFonts w:asciiTheme="minorHAnsi" w:hAnsiTheme="minorHAnsi"/>
      <w:sz w:val="20"/>
      <w:szCs w:val="20"/>
    </w:rPr>
  </w:style>
  <w:style w:type="paragraph" w:styleId="TOC5">
    <w:name w:val="toc 5"/>
    <w:basedOn w:val="Normal"/>
    <w:next w:val="Normal"/>
    <w:autoRedefine/>
    <w:uiPriority w:val="39"/>
    <w:unhideWhenUsed/>
    <w:rsid w:val="00D20468"/>
    <w:pPr>
      <w:ind w:left="880"/>
    </w:pPr>
    <w:rPr>
      <w:rFonts w:asciiTheme="minorHAnsi" w:hAnsiTheme="minorHAnsi"/>
      <w:sz w:val="20"/>
      <w:szCs w:val="20"/>
    </w:rPr>
  </w:style>
  <w:style w:type="paragraph" w:styleId="TOC6">
    <w:name w:val="toc 6"/>
    <w:basedOn w:val="Normal"/>
    <w:next w:val="Normal"/>
    <w:autoRedefine/>
    <w:uiPriority w:val="39"/>
    <w:unhideWhenUsed/>
    <w:rsid w:val="00D20468"/>
    <w:pPr>
      <w:ind w:left="1100"/>
    </w:pPr>
    <w:rPr>
      <w:rFonts w:asciiTheme="minorHAnsi" w:hAnsiTheme="minorHAnsi"/>
      <w:sz w:val="20"/>
      <w:szCs w:val="20"/>
    </w:rPr>
  </w:style>
  <w:style w:type="paragraph" w:styleId="TOC7">
    <w:name w:val="toc 7"/>
    <w:basedOn w:val="Normal"/>
    <w:next w:val="Normal"/>
    <w:autoRedefine/>
    <w:uiPriority w:val="39"/>
    <w:unhideWhenUsed/>
    <w:rsid w:val="00D20468"/>
    <w:pPr>
      <w:ind w:left="1320"/>
    </w:pPr>
    <w:rPr>
      <w:rFonts w:asciiTheme="minorHAnsi" w:hAnsiTheme="minorHAnsi"/>
      <w:sz w:val="20"/>
      <w:szCs w:val="20"/>
    </w:rPr>
  </w:style>
  <w:style w:type="paragraph" w:styleId="TOC8">
    <w:name w:val="toc 8"/>
    <w:basedOn w:val="Normal"/>
    <w:next w:val="Normal"/>
    <w:autoRedefine/>
    <w:uiPriority w:val="39"/>
    <w:unhideWhenUsed/>
    <w:rsid w:val="00D20468"/>
    <w:pPr>
      <w:ind w:left="1540"/>
    </w:pPr>
    <w:rPr>
      <w:rFonts w:asciiTheme="minorHAnsi" w:hAnsiTheme="minorHAnsi"/>
      <w:sz w:val="20"/>
      <w:szCs w:val="20"/>
    </w:rPr>
  </w:style>
  <w:style w:type="paragraph" w:styleId="TOC9">
    <w:name w:val="toc 9"/>
    <w:basedOn w:val="Normal"/>
    <w:next w:val="Normal"/>
    <w:autoRedefine/>
    <w:uiPriority w:val="39"/>
    <w:unhideWhenUsed/>
    <w:rsid w:val="00D20468"/>
    <w:pPr>
      <w:ind w:left="1760"/>
    </w:pPr>
    <w:rPr>
      <w:rFonts w:asciiTheme="minorHAnsi" w:hAnsiTheme="minorHAnsi"/>
      <w:sz w:val="20"/>
      <w:szCs w:val="20"/>
    </w:rPr>
  </w:style>
  <w:style w:type="paragraph" w:styleId="Header">
    <w:name w:val="header"/>
    <w:basedOn w:val="Normal"/>
    <w:link w:val="HeaderChar"/>
    <w:uiPriority w:val="99"/>
    <w:unhideWhenUsed/>
    <w:rsid w:val="00D20468"/>
    <w:pPr>
      <w:tabs>
        <w:tab w:val="center" w:pos="4513"/>
        <w:tab w:val="right" w:pos="9026"/>
      </w:tabs>
      <w:spacing w:line="240" w:lineRule="auto"/>
    </w:pPr>
  </w:style>
  <w:style w:type="character" w:customStyle="1" w:styleId="HeaderChar">
    <w:name w:val="Header Char"/>
    <w:basedOn w:val="DefaultParagraphFont"/>
    <w:link w:val="Header"/>
    <w:uiPriority w:val="99"/>
    <w:rsid w:val="00D20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planalto.gov.br/ccivil_03/leis/2003/l10.741.htm"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www.planalto.gov.br/ccivil_03/leis/2003/l10.741.htm" TargetMode="External"/><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planalto.gov.br/ccivil_03/_ato2007-2010/2010/lei/l12288.htm" TargetMode="External"/><Relationship Id="rId5" Type="http://schemas.openxmlformats.org/officeDocument/2006/relationships/endnotes" Target="endnotes.xml"/><Relationship Id="rId15" Type="http://schemas.openxmlformats.org/officeDocument/2006/relationships/chart" Target="charts/chart1.xml"/><Relationship Id="rId10" Type="http://schemas.openxmlformats.org/officeDocument/2006/relationships/hyperlink" Target="https://www.planalto.gov.br/ccivil_03/leis/l8069.htm"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planalto.gov.br/ccivil_03/leis/l8069.htm" TargetMode="External"/><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13" Type="http://schemas.openxmlformats.org/officeDocument/2006/relationships/hyperlink" Target="https://www.planalto.gov.br/ccivil_03/_ato2007-2010/2009/decreto/d6872.htm" TargetMode="External"/><Relationship Id="rId18" Type="http://schemas.openxmlformats.org/officeDocument/2006/relationships/hyperlink" Target="https://redir.stf.jus.br/paginadorpub/paginador.jsp?docTP=AC&amp;docID=612960" TargetMode="External"/><Relationship Id="rId26" Type="http://schemas.openxmlformats.org/officeDocument/2006/relationships/hyperlink" Target="https://storage.googleapis.com/pacto-public-documents/report_black_women.pdf" TargetMode="External"/><Relationship Id="rId39" Type="http://schemas.openxmlformats.org/officeDocument/2006/relationships/hyperlink" Target="https://www.scielo.br/j/rk/a/LvwKpGwBpzfTFtZkS3MygsL/" TargetMode="External"/><Relationship Id="rId21" Type="http://schemas.openxmlformats.org/officeDocument/2006/relationships/hyperlink" Target="https://www25.senado.leg.br/web/atividade/materias/-/materia/125951" TargetMode="External"/><Relationship Id="rId34" Type="http://schemas.openxmlformats.org/officeDocument/2006/relationships/hyperlink" Target="https://sisu.furg.br/images/portaria21mec.pdf" TargetMode="External"/><Relationship Id="rId7" Type="http://schemas.openxmlformats.org/officeDocument/2006/relationships/hyperlink" Target="https://cimi.org.br/2023/02/violencia-pataxo-demarcacao-governo-federal/" TargetMode="External"/><Relationship Id="rId12" Type="http://schemas.openxmlformats.org/officeDocument/2006/relationships/hyperlink" Target="https://www.gov.br/participamaisbrasil/relatorio-da-missao-ao-extremo-sul-da-bahia-para-verificar-violacoes-aos-direitos-humanos-contra-indigenas-do-povo-pataxo" TargetMode="External"/><Relationship Id="rId17" Type="http://schemas.openxmlformats.org/officeDocument/2006/relationships/hyperlink" Target="https://atos.cnj.jus.br/atos/detalhar/4305" TargetMode="External"/><Relationship Id="rId25" Type="http://schemas.openxmlformats.org/officeDocument/2006/relationships/hyperlink" Target="https://retratodotrabalhoinformal.com.br/website/wp-content/uploads/2022/06/Retrato-do-Trabalho-Informal-no-Brasil.pdf" TargetMode="External"/><Relationship Id="rId33" Type="http://schemas.openxmlformats.org/officeDocument/2006/relationships/hyperlink" Target="https://www.planalto.gov.br/ccivil_03/_Ato2004-2006/2005/Lei/L11096.htm" TargetMode="External"/><Relationship Id="rId38" Type="http://schemas.openxmlformats.org/officeDocument/2006/relationships/hyperlink" Target="https://revistapesquisa.fapesp.br/impacto-na-ciencia/" TargetMode="External"/><Relationship Id="rId2" Type="http://schemas.openxmlformats.org/officeDocument/2006/relationships/hyperlink" Target="https://www2.camara.leg.br/legin/fed/conadc/1988/constituicao.adct-1988-5-outubro-1988-322234-normaatualizada-pl.pdf" TargetMode="External"/><Relationship Id="rId16" Type="http://schemas.openxmlformats.org/officeDocument/2006/relationships/hyperlink" Target="https://atos.cnj.jus.br/atos/detalhar/4305" TargetMode="External"/><Relationship Id="rId20" Type="http://schemas.openxmlformats.org/officeDocument/2006/relationships/hyperlink" Target="https://www25.senado.leg.br/web/atividade/materias/-/materia/125951" TargetMode="External"/><Relationship Id="rId29" Type="http://schemas.openxmlformats.org/officeDocument/2006/relationships/hyperlink" Target="https://biblioteca.ibge.gov.br/visualizacao/livros/liv101784_informativo.pdf" TargetMode="External"/><Relationship Id="rId1" Type="http://schemas.openxmlformats.org/officeDocument/2006/relationships/hyperlink" Target="https://www2.camara.leg.br/legin/fed/conadc/1988/constituicao.adct-1988-5-outubro-1988-322234-normaatualizada-pl.pdf" TargetMode="External"/><Relationship Id="rId6" Type="http://schemas.openxmlformats.org/officeDocument/2006/relationships/hyperlink" Target="https://cimi.org.br/congressoantiindigena/" TargetMode="External"/><Relationship Id="rId11" Type="http://schemas.openxmlformats.org/officeDocument/2006/relationships/hyperlink" Target="https://www.gov.br/participamaisbrasil/relatorio-da-missao-ao-extremo-sul-da-bahia-para-verificar-violacoes-aos-direitos-humanos-contra-indigenas-do-povo-pataxo" TargetMode="External"/><Relationship Id="rId24" Type="http://schemas.openxmlformats.org/officeDocument/2006/relationships/hyperlink" Target="https://www.eco.unicamp.br/remir/images/2021/VOL_1_A_reforma_trabalhista_210621.pdf" TargetMode="External"/><Relationship Id="rId32" Type="http://schemas.openxmlformats.org/officeDocument/2006/relationships/hyperlink" Target="https://www.planalto.gov.br/ccivil_03/decreto-lei/del2848.htm" TargetMode="External"/><Relationship Id="rId37" Type="http://schemas.openxmlformats.org/officeDocument/2006/relationships/hyperlink" Target="https://repositorio.ipea.gov.br/handle/11058/10102" TargetMode="External"/><Relationship Id="rId5" Type="http://schemas.openxmlformats.org/officeDocument/2006/relationships/hyperlink" Target="https://cimi.org.br/congressoantiindigena/" TargetMode="External"/><Relationship Id="rId15" Type="http://schemas.openxmlformats.org/officeDocument/2006/relationships/hyperlink" Target="https://www.planalto.gov.br/ccivil_03/constituicao/emendas/emc/emc45.htm" TargetMode="External"/><Relationship Id="rId23" Type="http://schemas.openxmlformats.org/officeDocument/2006/relationships/hyperlink" Target="https://ftp.ibge.gov.br/Trabalho_e_Rendimento/Pesquisa_Nacional_por_Amostra_de_Domicilios_continua/Mensal/Quadro_Sintetico/2023/pnadc_202306_quadroSintetico.pdf" TargetMode="External"/><Relationship Id="rId28" Type="http://schemas.openxmlformats.org/officeDocument/2006/relationships/hyperlink" Target="https://data.unicef.org/resources/child-marriage-country-profiles/" TargetMode="External"/><Relationship Id="rId36" Type="http://schemas.openxmlformats.org/officeDocument/2006/relationships/hyperlink" Target="https://www.planalto.gov.br/ccivil_03/_ato2011-2014/2012/lei/l12711.htm" TargetMode="External"/><Relationship Id="rId10" Type="http://schemas.openxmlformats.org/officeDocument/2006/relationships/hyperlink" Target="https://cotidiano.sites.ufsc.br/retomada-xokleng-konglui-o-renascimento-de-um-povo/" TargetMode="External"/><Relationship Id="rId19" Type="http://schemas.openxmlformats.org/officeDocument/2006/relationships/hyperlink" Target="https://redir.stf.jus.br/paginadorpub/paginador.jsp?docTP=AC&amp;docID=612960" TargetMode="External"/><Relationship Id="rId31" Type="http://schemas.openxmlformats.org/officeDocument/2006/relationships/hyperlink" Target="https://www.planalto.gov.br/ccivil_03/_ato2019-2022/2019/lei/l13811.htm" TargetMode="External"/><Relationship Id="rId4" Type="http://schemas.openxmlformats.org/officeDocument/2006/relationships/hyperlink" Target="https://pib.socioambiental.org/pt/Situa%C3%A7%C3%A3o_jur%C3%ADdica_das_TIs_no_Brasil_hoje" TargetMode="External"/><Relationship Id="rId9" Type="http://schemas.openxmlformats.org/officeDocument/2006/relationships/hyperlink" Target="https://cotidiano.sites.ufsc.br/retomada-xokleng-konglui-o-renascimento-de-um-povo/" TargetMode="External"/><Relationship Id="rId14" Type="http://schemas.openxmlformats.org/officeDocument/2006/relationships/hyperlink" Target="https://www.planalto.gov.br/ccivil_03/constituicao/emendas/emc/emc45.htm" TargetMode="External"/><Relationship Id="rId22" Type="http://schemas.openxmlformats.org/officeDocument/2006/relationships/hyperlink" Target="https://www.planalto.gov.br/ccivil_03/_Ato2015-2018/2017/Lei/L13467.htm" TargetMode="External"/><Relationship Id="rId27" Type="http://schemas.openxmlformats.org/officeDocument/2006/relationships/hyperlink" Target="https://olheparaafome.com.br/wp-content/uploads/2022/06/Relatorio-II-VIGISAN-2022.pdf" TargetMode="External"/><Relationship Id="rId30" Type="http://schemas.openxmlformats.org/officeDocument/2006/relationships/hyperlink" Target="https://rsdjournal.org/index.php/rsd/article/view/39404" TargetMode="External"/><Relationship Id="rId35" Type="http://schemas.openxmlformats.org/officeDocument/2006/relationships/hyperlink" Target="http://www.planalto.gov.br/ccivil_03/leis/LEIS_2001/L10260compilado.htm" TargetMode="External"/><Relationship Id="rId8" Type="http://schemas.openxmlformats.org/officeDocument/2006/relationships/hyperlink" Target="https://cimi.org.br/2023/02/violencia-pataxo-demarcacao-governo-federal/" TargetMode="External"/><Relationship Id="rId3" Type="http://schemas.openxmlformats.org/officeDocument/2006/relationships/hyperlink" Target="https://pib.socioambiental.org/pt/Situa%C3%A7%C3%A3o_jur%C3%ADdica_das_TIs_no_Brasil_hoje"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Planilha1!$B$1</c:f>
              <c:strCache>
                <c:ptCount val="1"/>
                <c:pt idx="0">
                  <c:v>Trabalho Formal</c:v>
                </c:pt>
              </c:strCache>
            </c:strRef>
          </c:tx>
          <c:spPr>
            <a:solidFill>
              <a:schemeClr val="accent1">
                <a:lumMod val="60000"/>
                <a:lumOff val="40000"/>
              </a:schemeClr>
            </a:solidFill>
            <a:ln>
              <a:noFill/>
            </a:ln>
            <a:effectLst/>
          </c:spPr>
          <c:invertIfNegative val="0"/>
          <c:dLbls>
            <c:dLbl>
              <c:idx val="2"/>
              <c:layout>
                <c:manualLayout>
                  <c:x val="3.9884777309993354E-2"/>
                  <c:y val="6.7419517950446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2AA-2D40-8F62-3A1A5F93430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Planilha1!$A$2:$A$7</c:f>
              <c:strCache>
                <c:ptCount val="6"/>
                <c:pt idx="0">
                  <c:v>Setor Privado</c:v>
                </c:pt>
                <c:pt idx="1">
                  <c:v>Setor Público</c:v>
                </c:pt>
                <c:pt idx="2">
                  <c:v>Setor Doméstico</c:v>
                </c:pt>
                <c:pt idx="3">
                  <c:v>Empregadora</c:v>
                </c:pt>
                <c:pt idx="4">
                  <c:v>Autônoma</c:v>
                </c:pt>
                <c:pt idx="5">
                  <c:v>Trabalho Familiar Auxiliar</c:v>
                </c:pt>
              </c:strCache>
            </c:strRef>
          </c:cat>
          <c:val>
            <c:numRef>
              <c:f>Planilha1!$B$2:$B$7</c:f>
              <c:numCache>
                <c:formatCode>#,##0</c:formatCode>
                <c:ptCount val="6"/>
                <c:pt idx="0">
                  <c:v>36773</c:v>
                </c:pt>
                <c:pt idx="1">
                  <c:v>9088</c:v>
                </c:pt>
                <c:pt idx="2">
                  <c:v>1489</c:v>
                </c:pt>
                <c:pt idx="3">
                  <c:v>3392</c:v>
                </c:pt>
                <c:pt idx="4">
                  <c:v>6291</c:v>
                </c:pt>
              </c:numCache>
            </c:numRef>
          </c:val>
          <c:extLst>
            <c:ext xmlns:c16="http://schemas.microsoft.com/office/drawing/2014/chart" uri="{C3380CC4-5D6E-409C-BE32-E72D297353CC}">
              <c16:uniqueId val="{00000001-22AA-2D40-8F62-3A1A5F934309}"/>
            </c:ext>
          </c:extLst>
        </c:ser>
        <c:ser>
          <c:idx val="1"/>
          <c:order val="1"/>
          <c:tx>
            <c:strRef>
              <c:f>Planilha1!$C$1</c:f>
              <c:strCache>
                <c:ptCount val="1"/>
                <c:pt idx="0">
                  <c:v>Trabalho Informal</c:v>
                </c:pt>
              </c:strCache>
            </c:strRef>
          </c:tx>
          <c:spPr>
            <a:solidFill>
              <a:srgbClr val="F4B183"/>
            </a:solidFill>
            <a:ln>
              <a:noFill/>
            </a:ln>
            <a:effectLst/>
          </c:spPr>
          <c:invertIfNegative val="0"/>
          <c:dLbls>
            <c:dLbl>
              <c:idx val="1"/>
              <c:layout>
                <c:manualLayout>
                  <c:x val="6.647462884998892E-2"/>
                  <c:y val="-2.35968312826563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2AA-2D40-8F62-3A1A5F934309}"/>
                </c:ext>
              </c:extLst>
            </c:dLbl>
            <c:dLbl>
              <c:idx val="2"/>
              <c:layout>
                <c:manualLayout>
                  <c:x val="-4.0622915017834678E-17"/>
                  <c:y val="-3.370975897522332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2AA-2D40-8F62-3A1A5F934309}"/>
                </c:ext>
              </c:extLst>
            </c:dLbl>
            <c:dLbl>
              <c:idx val="3"/>
              <c:layout>
                <c:manualLayout>
                  <c:x val="5.0963882118324838E-2"/>
                  <c:y val="-1.011292769256699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22AA-2D40-8F62-3A1A5F934309}"/>
                </c:ext>
              </c:extLst>
            </c:dLbl>
            <c:dLbl>
              <c:idx val="4"/>
              <c:layout>
                <c:manualLayout>
                  <c:x val="-2.2158209616663788E-3"/>
                  <c:y val="-3.090025543156715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2AA-2D40-8F62-3A1A5F934309}"/>
                </c:ext>
              </c:extLst>
            </c:dLbl>
            <c:dLbl>
              <c:idx val="5"/>
              <c:layout>
                <c:manualLayout>
                  <c:x val="7.090627077332147E-2"/>
                  <c:y val="-2.359683128265633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2AA-2D40-8F62-3A1A5F93430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Planilha1!$A$2:$A$7</c:f>
              <c:strCache>
                <c:ptCount val="6"/>
                <c:pt idx="0">
                  <c:v>Setor Privado</c:v>
                </c:pt>
                <c:pt idx="1">
                  <c:v>Setor Público</c:v>
                </c:pt>
                <c:pt idx="2">
                  <c:v>Setor Doméstico</c:v>
                </c:pt>
                <c:pt idx="3">
                  <c:v>Empregadora</c:v>
                </c:pt>
                <c:pt idx="4">
                  <c:v>Autônoma</c:v>
                </c:pt>
                <c:pt idx="5">
                  <c:v>Trabalho Familiar Auxiliar</c:v>
                </c:pt>
              </c:strCache>
            </c:strRef>
          </c:cat>
          <c:val>
            <c:numRef>
              <c:f>Planilha1!$C$2:$C$7</c:f>
              <c:numCache>
                <c:formatCode>#,##0</c:formatCode>
                <c:ptCount val="6"/>
                <c:pt idx="0">
                  <c:v>13109</c:v>
                </c:pt>
                <c:pt idx="1">
                  <c:v>3142</c:v>
                </c:pt>
                <c:pt idx="2">
                  <c:v>4358</c:v>
                </c:pt>
                <c:pt idx="3" formatCode="General">
                  <c:v>778</c:v>
                </c:pt>
                <c:pt idx="4">
                  <c:v>18932</c:v>
                </c:pt>
                <c:pt idx="5">
                  <c:v>1557</c:v>
                </c:pt>
              </c:numCache>
            </c:numRef>
          </c:val>
          <c:extLst>
            <c:ext xmlns:c16="http://schemas.microsoft.com/office/drawing/2014/chart" uri="{C3380CC4-5D6E-409C-BE32-E72D297353CC}">
              <c16:uniqueId val="{00000007-22AA-2D40-8F62-3A1A5F934309}"/>
            </c:ext>
          </c:extLst>
        </c:ser>
        <c:dLbls>
          <c:showLegendKey val="0"/>
          <c:showVal val="1"/>
          <c:showCatName val="0"/>
          <c:showSerName val="0"/>
          <c:showPercent val="0"/>
          <c:showBubbleSize val="0"/>
        </c:dLbls>
        <c:gapWidth val="150"/>
        <c:overlap val="100"/>
        <c:axId val="1607016095"/>
        <c:axId val="1606658863"/>
      </c:barChart>
      <c:catAx>
        <c:axId val="16070160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06658863"/>
        <c:crosses val="autoZero"/>
        <c:auto val="1"/>
        <c:lblAlgn val="ctr"/>
        <c:lblOffset val="10"/>
        <c:noMultiLvlLbl val="0"/>
      </c:catAx>
      <c:valAx>
        <c:axId val="1606658863"/>
        <c:scaling>
          <c:orientation val="minMax"/>
          <c:max val="50000"/>
          <c:min val="0"/>
        </c:scaling>
        <c:delete val="0"/>
        <c:axPos val="b"/>
        <c:majorGridlines>
          <c:spPr>
            <a:ln w="9525" cap="flat" cmpd="sng" algn="ctr">
              <a:no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07016095"/>
        <c:crosses val="autoZero"/>
        <c:crossBetween val="between"/>
        <c:majorUnit val="5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5763</Words>
  <Characters>30491</Characters>
  <Application>Microsoft Office Word</Application>
  <DocSecurity>0</DocSecurity>
  <Lines>469</Lines>
  <Paragraphs>134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REYNAUD Céline</dc:creator>
  <cp:lastModifiedBy>Celine Reynaud</cp:lastModifiedBy>
  <cp:revision>2</cp:revision>
  <dcterms:created xsi:type="dcterms:W3CDTF">2023-09-14T09:41:00Z</dcterms:created>
  <dcterms:modified xsi:type="dcterms:W3CDTF">2023-09-14T09:41:00Z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7fe683db335c474588147b23b8f303f8dc68ca280a7db548ef9a7d39eb6af36c</vt:lpwstr>
  </property>
</Properties>
</file>